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3731C9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A730BB">
        <w:rPr>
          <w:b/>
          <w:bCs/>
        </w:rPr>
        <w:t xml:space="preserve"> 28</w:t>
      </w:r>
      <w:r>
        <w:rPr>
          <w:b/>
          <w:bCs/>
        </w:rPr>
        <w:t xml:space="preserve"> </w:t>
      </w:r>
      <w:r w:rsidR="00407A94">
        <w:rPr>
          <w:b/>
          <w:bCs/>
        </w:rPr>
        <w:t>октября</w:t>
      </w:r>
      <w:r>
        <w:rPr>
          <w:b/>
          <w:bCs/>
        </w:rPr>
        <w:t xml:space="preserve"> 2024 г. №</w:t>
      </w:r>
      <w:r w:rsidR="00A730BB">
        <w:rPr>
          <w:b/>
          <w:bCs/>
        </w:rPr>
        <w:t xml:space="preserve"> 1015</w:t>
      </w:r>
    </w:p>
    <w:p w:rsidR="00093ED3" w:rsidRPr="00021F21" w:rsidRDefault="00A97A96" w:rsidP="00802E99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5740C8" w:rsidRDefault="005740C8" w:rsidP="00F96EED">
      <w:pPr>
        <w:tabs>
          <w:tab w:val="left" w:pos="709"/>
        </w:tabs>
        <w:jc w:val="center"/>
      </w:pPr>
    </w:p>
    <w:p w:rsidR="00553E10" w:rsidRPr="005631B0" w:rsidRDefault="00553E10" w:rsidP="005631B0">
      <w:pPr>
        <w:jc w:val="center"/>
        <w:rPr>
          <w:b/>
        </w:rPr>
      </w:pPr>
      <w:r w:rsidRPr="005631B0">
        <w:rPr>
          <w:b/>
        </w:rPr>
        <w:t>О прогнозе социально-экономического развития</w:t>
      </w:r>
    </w:p>
    <w:p w:rsidR="00553E10" w:rsidRPr="005631B0" w:rsidRDefault="00553E10" w:rsidP="005631B0">
      <w:pPr>
        <w:jc w:val="center"/>
        <w:rPr>
          <w:b/>
        </w:rPr>
      </w:pPr>
      <w:r w:rsidRPr="005631B0">
        <w:rPr>
          <w:b/>
        </w:rPr>
        <w:t xml:space="preserve">Беломорского муниципального округа Республики Карелия </w:t>
      </w:r>
    </w:p>
    <w:p w:rsidR="00553E10" w:rsidRPr="005631B0" w:rsidRDefault="00553E10" w:rsidP="005631B0">
      <w:pPr>
        <w:jc w:val="center"/>
        <w:rPr>
          <w:b/>
        </w:rPr>
      </w:pPr>
      <w:r w:rsidRPr="005631B0">
        <w:rPr>
          <w:b/>
        </w:rPr>
        <w:t>на 2025 год и на плановый период 2026 и 2027 годов</w:t>
      </w:r>
    </w:p>
    <w:p w:rsidR="00553E10" w:rsidRPr="00955A1D" w:rsidRDefault="00553E10" w:rsidP="00553E10">
      <w:pPr>
        <w:jc w:val="center"/>
        <w:rPr>
          <w:b/>
        </w:rPr>
      </w:pPr>
    </w:p>
    <w:p w:rsidR="00553E10" w:rsidRPr="00955A1D" w:rsidRDefault="00553E10" w:rsidP="00553E10">
      <w:pPr>
        <w:rPr>
          <w:b/>
          <w:color w:val="FF0000"/>
        </w:rPr>
      </w:pPr>
    </w:p>
    <w:p w:rsidR="00553E10" w:rsidRPr="005631B0" w:rsidRDefault="00553E10" w:rsidP="00D83CCB">
      <w:pPr>
        <w:tabs>
          <w:tab w:val="left" w:pos="993"/>
        </w:tabs>
        <w:ind w:firstLine="709"/>
        <w:jc w:val="both"/>
      </w:pPr>
      <w:r w:rsidRPr="005631B0">
        <w:t>Руководствуясь статьей 173 Бюджетного кодекса Российской Федерации и Федеральным законом от 06 октября 2003 года № 131-ФЗ «Об общих принципах организации местного самоуправления в Российской Федерации», администрация Беломорского муниципального округа постановляет:</w:t>
      </w:r>
    </w:p>
    <w:p w:rsidR="00553E10" w:rsidRPr="005631B0" w:rsidRDefault="00553E10" w:rsidP="00D83CCB">
      <w:pPr>
        <w:tabs>
          <w:tab w:val="left" w:pos="993"/>
        </w:tabs>
        <w:ind w:firstLine="709"/>
        <w:jc w:val="both"/>
      </w:pPr>
    </w:p>
    <w:p w:rsidR="00553E10" w:rsidRPr="005631B0" w:rsidRDefault="00553E10" w:rsidP="00D83CCB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ind w:left="0" w:firstLine="709"/>
        <w:jc w:val="both"/>
      </w:pPr>
      <w:r w:rsidRPr="005631B0">
        <w:t>Утвердить прилагаемый прогноз социально-экономического развития Беломорского муниципального округа Республики Карелии на 2025 год и на плановый период 2026 и 2027 годов.</w:t>
      </w:r>
    </w:p>
    <w:p w:rsidR="00553E10" w:rsidRPr="005631B0" w:rsidRDefault="00553E10" w:rsidP="00D83CCB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631B0">
        <w:t>Отделу бюджета финансово-экономического управления администрации Беломорского муниципального округа при формирования доходной части бюджета Беломорского муниципального округа Республики Карелии на 2025 год и на плановый период 2026 и 2027 годов руководствоваться основными экономическими показателями прогноза социально-экономического развития Беломорского муниципального округа Республики Карелии на 2025 год и на плановый период 2026 и 2027 годов.</w:t>
      </w:r>
    </w:p>
    <w:p w:rsidR="00553E10" w:rsidRPr="005631B0" w:rsidRDefault="00553E10" w:rsidP="00D83CCB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5631B0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«Интернет».</w:t>
      </w:r>
    </w:p>
    <w:p w:rsidR="00553E10" w:rsidRPr="005631B0" w:rsidRDefault="00553E10" w:rsidP="00D83CCB">
      <w:pPr>
        <w:tabs>
          <w:tab w:val="left" w:pos="993"/>
        </w:tabs>
        <w:ind w:firstLine="709"/>
      </w:pPr>
    </w:p>
    <w:p w:rsidR="00A730BB" w:rsidRPr="005631B0" w:rsidRDefault="00A730BB" w:rsidP="00D83CCB">
      <w:pPr>
        <w:tabs>
          <w:tab w:val="left" w:pos="709"/>
          <w:tab w:val="left" w:pos="993"/>
        </w:tabs>
        <w:ind w:firstLine="709"/>
        <w:jc w:val="center"/>
      </w:pPr>
    </w:p>
    <w:p w:rsidR="00802E99" w:rsidRDefault="00802E99" w:rsidP="00F96EED">
      <w:pPr>
        <w:tabs>
          <w:tab w:val="left" w:pos="709"/>
        </w:tabs>
        <w:jc w:val="center"/>
      </w:pPr>
    </w:p>
    <w:p w:rsidR="00021F21" w:rsidRDefault="00021F21" w:rsidP="00F96EED">
      <w:pPr>
        <w:tabs>
          <w:tab w:val="left" w:pos="709"/>
        </w:tabs>
        <w:jc w:val="center"/>
      </w:pPr>
    </w:p>
    <w:p w:rsidR="00093ED3" w:rsidRPr="009C2D8B" w:rsidRDefault="00093ED3" w:rsidP="00093ED3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093ED3" w:rsidRPr="009C2D8B" w:rsidRDefault="00093ED3" w:rsidP="00093ED3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93ED3" w:rsidRPr="009C2D8B" w:rsidRDefault="00093ED3" w:rsidP="00021F21">
      <w:pPr>
        <w:tabs>
          <w:tab w:val="left" w:pos="709"/>
          <w:tab w:val="left" w:pos="993"/>
          <w:tab w:val="left" w:pos="9356"/>
        </w:tabs>
        <w:jc w:val="both"/>
      </w:pPr>
      <w:r w:rsidRPr="009C2D8B">
        <w:t xml:space="preserve">                                                                    </w:t>
      </w:r>
    </w:p>
    <w:p w:rsidR="00093ED3" w:rsidRDefault="00093ED3" w:rsidP="00F96EED">
      <w:pPr>
        <w:tabs>
          <w:tab w:val="left" w:pos="709"/>
        </w:tabs>
        <w:jc w:val="center"/>
      </w:pPr>
    </w:p>
    <w:p w:rsidR="007C2A44" w:rsidRDefault="007C2A44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Default="005174C6">
      <w:pPr>
        <w:tabs>
          <w:tab w:val="left" w:pos="709"/>
        </w:tabs>
        <w:jc w:val="center"/>
      </w:pPr>
    </w:p>
    <w:p w:rsidR="005174C6" w:rsidRPr="005174C6" w:rsidRDefault="005174C6" w:rsidP="005174C6">
      <w:pPr>
        <w:rPr>
          <w:sz w:val="22"/>
          <w:szCs w:val="22"/>
        </w:rPr>
      </w:pPr>
      <w:r w:rsidRPr="005174C6">
        <w:rPr>
          <w:sz w:val="22"/>
          <w:szCs w:val="22"/>
        </w:rPr>
        <w:lastRenderedPageBreak/>
        <w:t>Приложение</w:t>
      </w:r>
    </w:p>
    <w:p w:rsidR="005174C6" w:rsidRPr="005174C6" w:rsidRDefault="005174C6" w:rsidP="005174C6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74C6">
        <w:rPr>
          <w:rFonts w:ascii="Times New Roman" w:hAnsi="Times New Roman" w:cs="Times New Roman"/>
          <w:b w:val="0"/>
          <w:sz w:val="22"/>
          <w:szCs w:val="22"/>
        </w:rPr>
        <w:t>к постановлению администрации</w:t>
      </w:r>
    </w:p>
    <w:p w:rsidR="005174C6" w:rsidRPr="005174C6" w:rsidRDefault="005174C6" w:rsidP="005174C6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74C6">
        <w:rPr>
          <w:rFonts w:ascii="Times New Roman" w:hAnsi="Times New Roman" w:cs="Times New Roman"/>
          <w:b w:val="0"/>
          <w:sz w:val="22"/>
          <w:szCs w:val="22"/>
        </w:rPr>
        <w:t>Беломорского муниципального округа</w:t>
      </w:r>
    </w:p>
    <w:p w:rsidR="005174C6" w:rsidRPr="005174C6" w:rsidRDefault="005174C6" w:rsidP="005174C6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74C6">
        <w:rPr>
          <w:rFonts w:ascii="Times New Roman" w:hAnsi="Times New Roman" w:cs="Times New Roman"/>
          <w:b w:val="0"/>
          <w:sz w:val="22"/>
          <w:szCs w:val="22"/>
        </w:rPr>
        <w:t>от 28 октября 2024 года  № 1015</w:t>
      </w:r>
    </w:p>
    <w:p w:rsidR="005174C6" w:rsidRPr="00C75FF1" w:rsidRDefault="005174C6" w:rsidP="005174C6">
      <w:pPr>
        <w:pStyle w:val="ConsPlusTitle"/>
        <w:jc w:val="right"/>
        <w:rPr>
          <w:b w:val="0"/>
        </w:rPr>
      </w:pPr>
    </w:p>
    <w:p w:rsidR="005174C6" w:rsidRPr="00DA1058" w:rsidRDefault="005174C6" w:rsidP="005174C6">
      <w:pPr>
        <w:jc w:val="center"/>
        <w:rPr>
          <w:b/>
        </w:rPr>
      </w:pPr>
      <w:r w:rsidRPr="00DA1058">
        <w:rPr>
          <w:b/>
        </w:rPr>
        <w:t>Прогноз социально-экономического развития Беломорского муниципального округа</w:t>
      </w:r>
    </w:p>
    <w:p w:rsidR="005174C6" w:rsidRPr="00DA1058" w:rsidRDefault="005174C6" w:rsidP="005174C6">
      <w:pPr>
        <w:jc w:val="center"/>
        <w:rPr>
          <w:b/>
        </w:rPr>
      </w:pPr>
      <w:r w:rsidRPr="00DA1058">
        <w:rPr>
          <w:b/>
        </w:rPr>
        <w:t>на 2025 год и на плановый период 2026 и 2027 годов</w:t>
      </w:r>
    </w:p>
    <w:p w:rsidR="005174C6" w:rsidRPr="00117F61" w:rsidRDefault="005174C6" w:rsidP="005174C6">
      <w:pPr>
        <w:jc w:val="center"/>
        <w:rPr>
          <w:b/>
        </w:rPr>
      </w:pPr>
    </w:p>
    <w:p w:rsidR="005174C6" w:rsidRPr="00117F61" w:rsidRDefault="005174C6" w:rsidP="005174C6">
      <w:pPr>
        <w:autoSpaceDE w:val="0"/>
        <w:autoSpaceDN w:val="0"/>
        <w:adjustRightInd w:val="0"/>
        <w:ind w:firstLine="709"/>
        <w:jc w:val="both"/>
        <w:outlineLvl w:val="3"/>
      </w:pPr>
      <w:r w:rsidRPr="00117F61">
        <w:t>Прогноз социально-экономического развития Беломорского муниципального округа</w:t>
      </w:r>
      <w:r>
        <w:t xml:space="preserve"> Республики Карелия (далее – Беломорский муниципальный округ) </w:t>
      </w:r>
      <w:r w:rsidRPr="00117F61">
        <w:t>на 202</w:t>
      </w:r>
      <w:r>
        <w:t>5</w:t>
      </w:r>
      <w:r w:rsidRPr="00117F61">
        <w:t xml:space="preserve"> год и на плановый период 202</w:t>
      </w:r>
      <w:r>
        <w:t xml:space="preserve">6 </w:t>
      </w:r>
      <w:r w:rsidRPr="00117F61">
        <w:t>и 20</w:t>
      </w:r>
      <w:r>
        <w:t>27</w:t>
      </w:r>
      <w:r w:rsidRPr="00117F61">
        <w:t xml:space="preserve"> годов разработан на основе итогов социально-экономического развития за истекший период текущего года и ожидаемых итогов со</w:t>
      </w:r>
      <w:r>
        <w:t xml:space="preserve">циально-экономического развития Беломорского муниципального округа </w:t>
      </w:r>
      <w:r w:rsidRPr="00117F61">
        <w:t>за текущий год с учетом основных параметров прогноза социально-экономического развития Республики Карелия на очередной финансовый год и плановый период и рекомендаций Министерства экономического развития Республики Карелия.</w:t>
      </w:r>
    </w:p>
    <w:p w:rsidR="005174C6" w:rsidRPr="00117F61" w:rsidRDefault="005174C6" w:rsidP="005174C6">
      <w:pPr>
        <w:autoSpaceDE w:val="0"/>
        <w:autoSpaceDN w:val="0"/>
        <w:adjustRightInd w:val="0"/>
        <w:ind w:firstLine="600"/>
        <w:jc w:val="both"/>
        <w:outlineLvl w:val="3"/>
      </w:pPr>
    </w:p>
    <w:p w:rsidR="005174C6" w:rsidRPr="00DA1058" w:rsidRDefault="005174C6" w:rsidP="005174C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hanging="357"/>
        <w:contextualSpacing/>
        <w:jc w:val="center"/>
        <w:outlineLvl w:val="3"/>
        <w:rPr>
          <w:b/>
        </w:rPr>
      </w:pPr>
      <w:r w:rsidRPr="00DA1058">
        <w:rPr>
          <w:b/>
        </w:rPr>
        <w:t>Демография</w:t>
      </w:r>
    </w:p>
    <w:p w:rsidR="005174C6" w:rsidRDefault="005174C6" w:rsidP="005174C6">
      <w:pPr>
        <w:widowControl w:val="0"/>
        <w:jc w:val="both"/>
        <w:rPr>
          <w:kern w:val="2"/>
        </w:rPr>
      </w:pPr>
    </w:p>
    <w:p w:rsidR="005174C6" w:rsidRPr="00DA1058" w:rsidRDefault="005174C6" w:rsidP="005174C6">
      <w:pPr>
        <w:widowControl w:val="0"/>
        <w:ind w:firstLine="709"/>
        <w:jc w:val="both"/>
      </w:pPr>
      <w:r w:rsidRPr="00DA1058">
        <w:rPr>
          <w:kern w:val="2"/>
        </w:rPr>
        <w:t xml:space="preserve">В </w:t>
      </w:r>
      <w:r w:rsidRPr="00DA1058">
        <w:t>Беломорском муниципальном округе</w:t>
      </w:r>
      <w:r w:rsidRPr="00DA1058">
        <w:rPr>
          <w:kern w:val="2"/>
        </w:rPr>
        <w:t xml:space="preserve"> по данным </w:t>
      </w:r>
      <w:proofErr w:type="spellStart"/>
      <w:r w:rsidRPr="00DA1058">
        <w:t>Карелиястат</w:t>
      </w:r>
      <w:proofErr w:type="spellEnd"/>
      <w:r w:rsidRPr="00DA1058">
        <w:t xml:space="preserve"> среднегодовая численность постоянного населения на 1 января 2024 года составила 12305 человек. </w:t>
      </w:r>
      <w:r w:rsidRPr="00DA1058">
        <w:rPr>
          <w:kern w:val="2"/>
        </w:rPr>
        <w:t xml:space="preserve">За счет естественной убыли общая численность населения снизилась </w:t>
      </w:r>
      <w:r w:rsidRPr="00DA1058">
        <w:t>на 241 человек, или на 1,9 % по отношению к аналогичному периоду за 2023 год. Отток населения в города - Петрозаводск, Санкт-Петербург и другие города России, что существенно ослабляет трудовой и демографический потенциал округа. В предыдущие годы численность населения уменьшалась в среднем на 400 чел.</w:t>
      </w:r>
      <w:r>
        <w:t xml:space="preserve"> </w:t>
      </w:r>
      <w:r w:rsidRPr="00DA1058">
        <w:rPr>
          <w:kern w:val="2"/>
        </w:rPr>
        <w:t xml:space="preserve">(2016 год – 17034 чел., 2017 год – </w:t>
      </w:r>
      <w:r>
        <w:rPr>
          <w:kern w:val="2"/>
        </w:rPr>
        <w:t xml:space="preserve">                   </w:t>
      </w:r>
      <w:r w:rsidRPr="00DA1058">
        <w:rPr>
          <w:kern w:val="2"/>
        </w:rPr>
        <w:t>16663</w:t>
      </w:r>
      <w:r>
        <w:rPr>
          <w:kern w:val="2"/>
        </w:rPr>
        <w:t xml:space="preserve"> </w:t>
      </w:r>
      <w:r w:rsidRPr="00DA1058">
        <w:rPr>
          <w:kern w:val="2"/>
        </w:rPr>
        <w:t xml:space="preserve">чел., 2018 год – 16303 чел., 2019 год – </w:t>
      </w:r>
      <w:r w:rsidRPr="00DA1058">
        <w:t>15929</w:t>
      </w:r>
      <w:r>
        <w:t xml:space="preserve"> </w:t>
      </w:r>
      <w:r w:rsidRPr="00DA1058">
        <w:rPr>
          <w:kern w:val="2"/>
        </w:rPr>
        <w:t xml:space="preserve">чел., 2020 год – 15433, 2021 год – </w:t>
      </w:r>
      <w:r>
        <w:rPr>
          <w:kern w:val="2"/>
        </w:rPr>
        <w:t xml:space="preserve"> </w:t>
      </w:r>
      <w:r w:rsidRPr="00DA1058">
        <w:rPr>
          <w:kern w:val="2"/>
        </w:rPr>
        <w:t xml:space="preserve">15151 чел., 2022 год – 14693 чел.). </w:t>
      </w:r>
    </w:p>
    <w:p w:rsidR="005174C6" w:rsidRPr="00DA1058" w:rsidRDefault="005174C6" w:rsidP="005174C6">
      <w:pPr>
        <w:widowControl w:val="0"/>
        <w:ind w:firstLine="709"/>
        <w:jc w:val="both"/>
      </w:pPr>
      <w:r w:rsidRPr="00DA1058">
        <w:t xml:space="preserve">Число родившихся в 2023 году составило 88 человек, число умерших составило 273 человека. </w:t>
      </w:r>
      <w:r w:rsidRPr="00DA1058">
        <w:rPr>
          <w:kern w:val="2"/>
        </w:rPr>
        <w:t>Уровни смертности и рождаемости являются ключевыми демографическими показателями. Естественная убыль населения за 2023 год составила 185 человек, зафиксировав снижение на 22,5 % по сравнению с 2022 годом. Численность родившихся увеличилась на 4,7 % (или на 4 чел.), число умерших уменьшилось на 15,4 % (или на</w:t>
      </w:r>
      <w:r>
        <w:rPr>
          <w:kern w:val="2"/>
        </w:rPr>
        <w:t xml:space="preserve">                </w:t>
      </w:r>
      <w:r w:rsidRPr="00DA1058">
        <w:rPr>
          <w:kern w:val="2"/>
        </w:rPr>
        <w:t>50 чел.).</w:t>
      </w:r>
    </w:p>
    <w:p w:rsidR="005174C6" w:rsidRPr="00DA1058" w:rsidRDefault="005174C6" w:rsidP="005174C6">
      <w:pPr>
        <w:widowControl w:val="0"/>
        <w:ind w:firstLine="709"/>
        <w:jc w:val="both"/>
      </w:pPr>
      <w:r w:rsidRPr="00DA1058">
        <w:t xml:space="preserve">Тенденция дальнейшего снижения численности населения сохранится и на период до 2027 года. По оценке среднегодовая численность населения в 2025 году составит </w:t>
      </w:r>
      <w:r>
        <w:t xml:space="preserve">               </w:t>
      </w:r>
      <w:r w:rsidRPr="00DA1058">
        <w:t>11,9 тыс. чел., с дальнейшим сокращением к 2026, 2027 году до 11,5 тыс. человек.</w:t>
      </w:r>
    </w:p>
    <w:p w:rsidR="005174C6" w:rsidRPr="00DA1058" w:rsidRDefault="005174C6" w:rsidP="005174C6">
      <w:pPr>
        <w:suppressAutoHyphens/>
        <w:ind w:firstLine="709"/>
        <w:jc w:val="both"/>
        <w:rPr>
          <w:kern w:val="2"/>
        </w:rPr>
      </w:pPr>
      <w:r w:rsidRPr="00DA1058">
        <w:rPr>
          <w:kern w:val="2"/>
        </w:rPr>
        <w:t>Трудовые ресурсы Беломорского муниципального округа за 2023</w:t>
      </w:r>
      <w:r>
        <w:rPr>
          <w:kern w:val="2"/>
        </w:rPr>
        <w:t xml:space="preserve"> </w:t>
      </w:r>
      <w:r w:rsidRPr="00DA1058">
        <w:rPr>
          <w:kern w:val="2"/>
        </w:rPr>
        <w:t>год составляют порядка 7,1 тысяч человек, из них во всех отраслях экономики заняты 5,1 тысяча человек или 72,3 % от трудовых ресурсов. Значительная часть работников – около 2,3 тыс. человек (43,9 % от общего количества занятых) трудится в государственных и муниципальных организациях и учреждениях, порядка 1,1 тыс. человек</w:t>
      </w:r>
      <w:r>
        <w:rPr>
          <w:kern w:val="2"/>
        </w:rPr>
        <w:t xml:space="preserve"> </w:t>
      </w:r>
      <w:r w:rsidRPr="00DA1058">
        <w:rPr>
          <w:kern w:val="2"/>
        </w:rPr>
        <w:t>(22,5% от общего количества занятых) трудится в ОАО «РЖД».</w:t>
      </w:r>
    </w:p>
    <w:p w:rsidR="005174C6" w:rsidRPr="00DA1058" w:rsidRDefault="005174C6" w:rsidP="005174C6">
      <w:pPr>
        <w:suppressAutoHyphens/>
        <w:ind w:firstLine="709"/>
        <w:jc w:val="both"/>
        <w:rPr>
          <w:kern w:val="2"/>
        </w:rPr>
      </w:pPr>
      <w:r w:rsidRPr="00DA1058">
        <w:rPr>
          <w:kern w:val="2"/>
        </w:rPr>
        <w:t>В условиях сокращения численности населения и возрастающей миграции, Беломорскому муниципальному округу важно адаптировать свою социально-экономическую политику. Нехватка трудовых ресурсов может привести к увеличению нагрузки на действующих сотрудников, что, в свою очередь, скажется на экономической активности округа. Важно активизировать меры по привлечению молодежи и специалистов в ключевые секторы экономики, такие как образование, здравоохранение, транспортировка и хранение.</w:t>
      </w:r>
    </w:p>
    <w:p w:rsidR="005174C6" w:rsidRPr="00DA1058" w:rsidRDefault="005174C6" w:rsidP="005174C6">
      <w:pPr>
        <w:suppressAutoHyphens/>
        <w:ind w:firstLine="709"/>
        <w:jc w:val="both"/>
        <w:rPr>
          <w:kern w:val="2"/>
        </w:rPr>
      </w:pPr>
      <w:r w:rsidRPr="00DA1058">
        <w:rPr>
          <w:kern w:val="2"/>
        </w:rPr>
        <w:t>Дополнительно, Беломорскому муниципальному округу следует рассмотреть возможности для развития малого и среднего бизнеса, что может привлечь новые кадры и способствовать созданию рабочих мест. Повышение уровня предпринимательской активности поможет не только улучшить экономическую ситуацию, но и улучшить социальные условия для местных жителей.</w:t>
      </w:r>
    </w:p>
    <w:p w:rsidR="005174C6" w:rsidRPr="00117F61" w:rsidRDefault="005174C6" w:rsidP="005174C6">
      <w:pPr>
        <w:suppressAutoHyphens/>
        <w:jc w:val="both"/>
        <w:rPr>
          <w:kern w:val="2"/>
        </w:rPr>
      </w:pPr>
    </w:p>
    <w:p w:rsidR="005174C6" w:rsidRPr="00117F61" w:rsidRDefault="005174C6" w:rsidP="005174C6">
      <w:pPr>
        <w:pStyle w:val="a3"/>
        <w:numPr>
          <w:ilvl w:val="0"/>
          <w:numId w:val="12"/>
        </w:numPr>
        <w:ind w:left="0"/>
        <w:contextualSpacing/>
        <w:jc w:val="center"/>
        <w:rPr>
          <w:b/>
        </w:rPr>
      </w:pPr>
      <w:r w:rsidRPr="00117F61">
        <w:rPr>
          <w:b/>
        </w:rPr>
        <w:t>Потребительский рынок</w:t>
      </w:r>
    </w:p>
    <w:p w:rsidR="005174C6" w:rsidRPr="00117F61" w:rsidRDefault="005174C6" w:rsidP="005174C6">
      <w:pPr>
        <w:jc w:val="center"/>
      </w:pPr>
    </w:p>
    <w:p w:rsidR="005174C6" w:rsidRDefault="005174C6" w:rsidP="005174C6">
      <w:pPr>
        <w:ind w:firstLine="709"/>
        <w:jc w:val="both"/>
      </w:pPr>
      <w:r w:rsidRPr="00117F61">
        <w:t xml:space="preserve">Потребительский рынок представлен розничной торговлей, общественным питанием и различными видами платных услуг, оказываемых населению, которые постоянно развиваются. В настоящее время потребительская сфера на территории </w:t>
      </w:r>
      <w:r>
        <w:t>округа</w:t>
      </w:r>
      <w:r w:rsidRPr="00117F61">
        <w:t xml:space="preserve"> характеризуется высокой насыщенностью продовольственными и непродовольственными товарами. Оборот розничной торговли по полному кругу предприятий в 202</w:t>
      </w:r>
      <w:r>
        <w:t xml:space="preserve">3 </w:t>
      </w:r>
      <w:r w:rsidRPr="00117F61">
        <w:t xml:space="preserve">году составил </w:t>
      </w:r>
      <w:r>
        <w:t>2792,3</w:t>
      </w:r>
      <w:r w:rsidRPr="00117F61">
        <w:t xml:space="preserve"> млн. рублей. С учетом ввода новых торговых предприятий и объектов потребительского рынка и услуг, оборот розничной торговли в 202</w:t>
      </w:r>
      <w:r>
        <w:t>4</w:t>
      </w:r>
      <w:r w:rsidRPr="00117F61">
        <w:t xml:space="preserve"> году прогнозируется в сумме </w:t>
      </w:r>
      <w:r>
        <w:t>3155</w:t>
      </w:r>
      <w:r w:rsidRPr="00117F61">
        <w:t>,</w:t>
      </w:r>
      <w:r>
        <w:t>2</w:t>
      </w:r>
      <w:r w:rsidRPr="00117F61">
        <w:t xml:space="preserve"> млн. руб. Оборот розничной торговли к 202</w:t>
      </w:r>
      <w:r>
        <w:t>7 году</w:t>
      </w:r>
      <w:r w:rsidRPr="00117F61">
        <w:t xml:space="preserve"> достигнет предположительно 3</w:t>
      </w:r>
      <w:r>
        <w:t>974</w:t>
      </w:r>
      <w:r w:rsidRPr="00117F61">
        <w:t>,0 млн. руб.</w:t>
      </w:r>
    </w:p>
    <w:p w:rsidR="005174C6" w:rsidRDefault="005174C6" w:rsidP="005174C6">
      <w:pPr>
        <w:ind w:firstLine="709"/>
        <w:jc w:val="both"/>
      </w:pPr>
      <w:r w:rsidRPr="00117F61">
        <w:t xml:space="preserve">В прогнозно-плановый период ожидается увеличение оборота розничной торговли, что обусловлено наличием потребительского спроса и созданием качественной конкурентной среды. Из факторов, активно повлиявших на увеличение оборота - это расширение торговых сетей и применение системы скидок. Существенное влияние на развитие розничной торговли </w:t>
      </w:r>
      <w:r>
        <w:t>округа</w:t>
      </w:r>
      <w:r w:rsidRPr="00117F61">
        <w:t xml:space="preserve"> оказывают сетевые операторы розничной сети федерального уровня - АО «</w:t>
      </w:r>
      <w:proofErr w:type="spellStart"/>
      <w:r w:rsidRPr="00117F61">
        <w:t>Тандер</w:t>
      </w:r>
      <w:proofErr w:type="spellEnd"/>
      <w:r w:rsidRPr="00117F61">
        <w:t>» (сеть «Магнит»), ООО «</w:t>
      </w:r>
      <w:proofErr w:type="spellStart"/>
      <w:r w:rsidRPr="00117F61">
        <w:t>Агроторг</w:t>
      </w:r>
      <w:proofErr w:type="spellEnd"/>
      <w:r w:rsidRPr="00117F61">
        <w:t xml:space="preserve">» (сеть «Пятерочка»), ООО Рассвет» («Великолукский мясокомбинат»), ООО «ДНС </w:t>
      </w:r>
      <w:proofErr w:type="spellStart"/>
      <w:r w:rsidRPr="00117F61">
        <w:t>Ритейл</w:t>
      </w:r>
      <w:proofErr w:type="spellEnd"/>
      <w:r w:rsidRPr="00117F61">
        <w:t>», ООО «</w:t>
      </w:r>
      <w:proofErr w:type="spellStart"/>
      <w:r w:rsidRPr="00117F61">
        <w:t>Альфа-М</w:t>
      </w:r>
      <w:proofErr w:type="spellEnd"/>
      <w:r w:rsidRPr="00117F61">
        <w:t xml:space="preserve">» («Красное &amp; Белое»), ООО «Североморское («Улыбка Радуги»), </w:t>
      </w:r>
      <w:r>
        <w:t xml:space="preserve">                 </w:t>
      </w:r>
      <w:r w:rsidRPr="00117F61">
        <w:t>ООО «</w:t>
      </w:r>
      <w:proofErr w:type="spellStart"/>
      <w:r w:rsidRPr="00117F61">
        <w:t>БэстПрайс</w:t>
      </w:r>
      <w:proofErr w:type="spellEnd"/>
      <w:r w:rsidRPr="00117F61">
        <w:t>» (магазин «</w:t>
      </w:r>
      <w:proofErr w:type="spellStart"/>
      <w:r w:rsidRPr="00117F61">
        <w:t>Fix</w:t>
      </w:r>
      <w:proofErr w:type="spellEnd"/>
      <w:r w:rsidRPr="00117F61">
        <w:t xml:space="preserve"> </w:t>
      </w:r>
      <w:proofErr w:type="spellStart"/>
      <w:r w:rsidRPr="00117F61">
        <w:t>Price</w:t>
      </w:r>
      <w:proofErr w:type="spellEnd"/>
      <w:r w:rsidRPr="00117F61">
        <w:t xml:space="preserve">»). Всего на территории </w:t>
      </w:r>
      <w:r>
        <w:t>округа</w:t>
      </w:r>
      <w:r w:rsidRPr="00117F61">
        <w:t xml:space="preserve"> осуществляют деятельность </w:t>
      </w:r>
      <w:r w:rsidRPr="00241571">
        <w:t>17 универсамов</w:t>
      </w:r>
      <w:r w:rsidRPr="00117F61">
        <w:t>, принадлежащих федеральным торговым сетям, что позволило создать новые рабочие места и увеличить количество торговых объектов с современным форматом торгового обслуживания.</w:t>
      </w:r>
    </w:p>
    <w:p w:rsidR="005174C6" w:rsidRPr="00F83C89" w:rsidRDefault="005174C6" w:rsidP="005174C6">
      <w:pPr>
        <w:ind w:firstLine="709"/>
        <w:jc w:val="both"/>
      </w:pPr>
      <w:r w:rsidRPr="00F83C89">
        <w:t xml:space="preserve">Обеспечение товарами первой необходимости населения в труднодоступные населенные пункты осуществляют: ПО «Содружество», Сумское МТП, ООО «Каскад» и </w:t>
      </w:r>
      <w:proofErr w:type="spellStart"/>
      <w:r w:rsidRPr="00F83C89">
        <w:t>Кемское</w:t>
      </w:r>
      <w:proofErr w:type="spellEnd"/>
      <w:r w:rsidRPr="00F83C89">
        <w:t xml:space="preserve"> районное потребительское общество.</w:t>
      </w:r>
    </w:p>
    <w:p w:rsidR="005174C6" w:rsidRDefault="005174C6" w:rsidP="005174C6">
      <w:pPr>
        <w:ind w:firstLine="709"/>
        <w:jc w:val="both"/>
      </w:pPr>
      <w:r w:rsidRPr="00117F61">
        <w:t>Набирает обороты способ реализации т</w:t>
      </w:r>
      <w:r>
        <w:t>овара посредством размещения нестационарных торговых объектов</w:t>
      </w:r>
      <w:r w:rsidRPr="00117F61">
        <w:t xml:space="preserve">. </w:t>
      </w:r>
      <w:r>
        <w:t>У</w:t>
      </w:r>
      <w:r w:rsidRPr="00117F61">
        <w:t>спехом пользуются ярмарки. Рынок услуг в последние годы развивается и совершенствуется достаточно быстрыми темпами.</w:t>
      </w:r>
    </w:p>
    <w:p w:rsidR="005174C6" w:rsidRDefault="005174C6" w:rsidP="005174C6">
      <w:pPr>
        <w:ind w:firstLine="709"/>
        <w:jc w:val="both"/>
      </w:pPr>
      <w:r w:rsidRPr="006A4DF4">
        <w:t xml:space="preserve">Таким образом, растущий объем розничной торговли в округе не только свидетельствует о потребительском спросе, но и подчеркивает конкурентоспособность местного рынка. Одним из ключевых факторов успешного развития стало активное внедрение новых технологий, таких как электронная коммерция и </w:t>
      </w:r>
      <w:proofErr w:type="spellStart"/>
      <w:r w:rsidRPr="006A4DF4">
        <w:t>маркетплейсы</w:t>
      </w:r>
      <w:proofErr w:type="spellEnd"/>
      <w:r>
        <w:t xml:space="preserve">                      </w:t>
      </w:r>
      <w:r w:rsidRPr="005E0F33">
        <w:t>(ООО "</w:t>
      </w:r>
      <w:proofErr w:type="spellStart"/>
      <w:r w:rsidRPr="005E0F33">
        <w:t>Вайлдберриз</w:t>
      </w:r>
      <w:proofErr w:type="spellEnd"/>
      <w:r w:rsidRPr="005E0F33">
        <w:t>", ООО «Интернет решения»</w:t>
      </w:r>
      <w:r>
        <w:t xml:space="preserve"> (Озон</w:t>
      </w:r>
      <w:r w:rsidRPr="005E0F33">
        <w:t>)</w:t>
      </w:r>
      <w:r w:rsidRPr="006A4DF4">
        <w:t>, что позволило покупателям получать доступ к товарам с комфортом.</w:t>
      </w:r>
    </w:p>
    <w:p w:rsidR="005174C6" w:rsidRDefault="005174C6" w:rsidP="005174C6">
      <w:pPr>
        <w:ind w:firstLine="709"/>
        <w:jc w:val="both"/>
      </w:pPr>
      <w:r w:rsidRPr="00783B37">
        <w:t xml:space="preserve">Не менее важным направлением остается развитие общественного питания. В округе наблюдается </w:t>
      </w:r>
      <w:r w:rsidRPr="0073093E">
        <w:t>рост</w:t>
      </w:r>
      <w:r w:rsidRPr="00783B37">
        <w:t xml:space="preserve"> числа </w:t>
      </w:r>
      <w:r>
        <w:t>объектов общественного питания</w:t>
      </w:r>
      <w:r w:rsidRPr="00783B37">
        <w:t>, предлагающих разнообразие блюд и услуг. Это не только улучшает качество обслуживания, но и способствует привлечению туристов, что увеличивает заинтересованность в местной кухне и культуре.</w:t>
      </w:r>
    </w:p>
    <w:p w:rsidR="005174C6" w:rsidRDefault="005174C6" w:rsidP="005174C6">
      <w:pPr>
        <w:ind w:firstLine="709"/>
        <w:jc w:val="both"/>
      </w:pPr>
      <w:r w:rsidRPr="00783B37">
        <w:t xml:space="preserve">В целом, рассматриваемая сфера будет продолжать адаптироваться к изменяющимся условиям, учитывая потребности населения и мировые тренды, что обеспечит стабильное развитие потребительского рынка </w:t>
      </w:r>
      <w:r>
        <w:t xml:space="preserve">Беломорского муниципального </w:t>
      </w:r>
      <w:r w:rsidRPr="00783B37">
        <w:t>округа в будущем.</w:t>
      </w:r>
    </w:p>
    <w:p w:rsidR="005174C6" w:rsidRDefault="005174C6" w:rsidP="005174C6">
      <w:pPr>
        <w:ind w:firstLine="709"/>
        <w:jc w:val="both"/>
      </w:pPr>
    </w:p>
    <w:p w:rsidR="005174C6" w:rsidRPr="00036B35" w:rsidRDefault="005174C6" w:rsidP="005174C6">
      <w:pPr>
        <w:pStyle w:val="a3"/>
        <w:numPr>
          <w:ilvl w:val="0"/>
          <w:numId w:val="12"/>
        </w:numPr>
        <w:ind w:left="0"/>
        <w:contextualSpacing/>
        <w:jc w:val="center"/>
        <w:rPr>
          <w:b/>
        </w:rPr>
      </w:pPr>
      <w:r w:rsidRPr="00036B35">
        <w:rPr>
          <w:b/>
        </w:rPr>
        <w:t>Промышленное производство</w:t>
      </w:r>
    </w:p>
    <w:p w:rsidR="005174C6" w:rsidRPr="00036B35" w:rsidRDefault="005174C6" w:rsidP="005174C6">
      <w:pPr>
        <w:jc w:val="center"/>
        <w:rPr>
          <w:b/>
        </w:rPr>
      </w:pPr>
    </w:p>
    <w:p w:rsidR="005174C6" w:rsidRPr="00036B35" w:rsidRDefault="005174C6" w:rsidP="005174C6">
      <w:pPr>
        <w:ind w:firstLine="709"/>
        <w:jc w:val="both"/>
      </w:pPr>
      <w:r w:rsidRPr="00036B35">
        <w:t xml:space="preserve">По состоянию на 01 января 2024 года на территории Беломорского муниципального округа зарегистрировано 364 субъекта малого и среднего предпринимательства, в том числе 356 </w:t>
      </w:r>
      <w:proofErr w:type="spellStart"/>
      <w:r w:rsidRPr="00036B35">
        <w:t>микропредприятий</w:t>
      </w:r>
      <w:proofErr w:type="spellEnd"/>
      <w:r w:rsidRPr="00036B35">
        <w:t xml:space="preserve"> (численность до 15 человек),             7 малых предприятий (численность до 100 человек), 1 среднее предприятие                          (ООО «Рыболовецкая компания «</w:t>
      </w:r>
      <w:proofErr w:type="spellStart"/>
      <w:r w:rsidRPr="00036B35">
        <w:t>Вирма</w:t>
      </w:r>
      <w:proofErr w:type="spellEnd"/>
      <w:r w:rsidRPr="00036B35">
        <w:t>»). Количество индивидуальных предпринимателей составило 263 человека.</w:t>
      </w:r>
    </w:p>
    <w:p w:rsidR="005174C6" w:rsidRPr="00036B35" w:rsidRDefault="005174C6" w:rsidP="002E39A7">
      <w:pPr>
        <w:ind w:firstLine="709"/>
        <w:jc w:val="both"/>
      </w:pPr>
      <w:r w:rsidRPr="00036B35">
        <w:lastRenderedPageBreak/>
        <w:t xml:space="preserve">В 2023 году на территории муниципального образования «Беломорский муниципальный район» осуществляли и продолжают осуществлять деятельность                           23 субъекта рыбохозяйственного комплекса, в том числе: 6рыбодобывающих предприятий, осуществляющих океаническое рыболовство (ПСК «РК «Заря Севера», ООО «Рыболовецкая компания </w:t>
      </w:r>
      <w:proofErr w:type="spellStart"/>
      <w:r w:rsidRPr="00036B35">
        <w:t>Вирма</w:t>
      </w:r>
      <w:proofErr w:type="spellEnd"/>
      <w:r w:rsidRPr="00036B35">
        <w:t>», РК «Беломор», АО «Карельские морепродукты», СПК РК «Помор», ООО ПКФ «Буссоль»), 15</w:t>
      </w:r>
      <w:r>
        <w:t xml:space="preserve"> </w:t>
      </w:r>
      <w:r w:rsidRPr="00036B35">
        <w:t>рыбодобывающих</w:t>
      </w:r>
      <w:r>
        <w:t xml:space="preserve"> </w:t>
      </w:r>
      <w:r w:rsidRPr="00036B35">
        <w:t xml:space="preserve">хозяйствующих субъектов, осуществляющих промышленное и прибрежное рыболовство в карельской части Белого моря, а также в пресноводных объектах и 2 товарных рыбоводных хозяйств (ООО «ВАК» и ООО «Чистый берег»). Предприятие ООО «ВАК» признано несостоятельным (банкротом) и в отношении него открыто конкурсное производство с </w:t>
      </w:r>
      <w:r>
        <w:t xml:space="preserve">            </w:t>
      </w:r>
      <w:r w:rsidRPr="00036B35">
        <w:t xml:space="preserve">27 июня 2023 года. </w:t>
      </w:r>
      <w:r>
        <w:t xml:space="preserve"> </w:t>
      </w:r>
      <w:r w:rsidRPr="00036B35">
        <w:t>В настоящее время предприятие продолжает свою работу. Полная ликвидация компании-должника планируется в 2025 году. Осенью 2023 зарегистрировано ООО «</w:t>
      </w:r>
      <w:proofErr w:type="spellStart"/>
      <w:r w:rsidRPr="00036B35">
        <w:t>Беломорье</w:t>
      </w:r>
      <w:proofErr w:type="spellEnd"/>
      <w:r w:rsidRPr="00036B35">
        <w:t>», которое планирует заниматься рыбоводством, в настоящее время занимается приобретением основных средств.</w:t>
      </w:r>
    </w:p>
    <w:p w:rsidR="005174C6" w:rsidRPr="00036B35" w:rsidRDefault="005174C6" w:rsidP="002E39A7">
      <w:pPr>
        <w:ind w:firstLine="709"/>
        <w:jc w:val="both"/>
      </w:pPr>
      <w:r w:rsidRPr="00036B35">
        <w:t>Разнообразие рыбодобывающих предприятий и устойчивый рост небольших рыболовецких хозяйств свидетельствуют о наличии потенциала для дальнейшего роста и улучшения производственных показателей</w:t>
      </w:r>
    </w:p>
    <w:p w:rsidR="005174C6" w:rsidRPr="00036B35" w:rsidRDefault="005174C6" w:rsidP="002E39A7">
      <w:pPr>
        <w:ind w:firstLine="709"/>
        <w:jc w:val="both"/>
      </w:pPr>
      <w:r w:rsidRPr="00036B35">
        <w:t>Всего рыбодобывающими организациями в 2023 году добыто 23,1 тыс. тонн водных биоресурсов. Рыбопромысловая деятельность предприятиями, зарегистрированными на территории округа, ведется в северной части Атлантического океана, Баренцевом море, внутренних пресноводных водоемах в Карельской части Белого моря.</w:t>
      </w:r>
    </w:p>
    <w:p w:rsidR="005174C6" w:rsidRPr="00036B35" w:rsidRDefault="005174C6" w:rsidP="005174C6">
      <w:pPr>
        <w:ind w:firstLine="709"/>
        <w:jc w:val="both"/>
      </w:pPr>
      <w:r w:rsidRPr="00036B35">
        <w:t xml:space="preserve">По итогам первого полугодия 2024 года рыбодобывающими предприятиями добыто 11,2 тыс. тонн водных биоресурсов. Снижение объемов добычи рыбы связано </w:t>
      </w:r>
      <w:r>
        <w:t xml:space="preserve">                 </w:t>
      </w:r>
      <w:r w:rsidRPr="00036B35">
        <w:t xml:space="preserve">с тем, что в ноябре 2023 года ООО ПКФ «Буссоль» изменили юридический адрес на </w:t>
      </w:r>
      <w:r>
        <w:t xml:space="preserve">                   </w:t>
      </w:r>
      <w:r w:rsidRPr="00036B35">
        <w:t>г. Мурманск. Рыбопромысловые предприятия, такие как РК «Беломор» сталкиваются с проблемами, связанными с необходимостью обновления основных средств. В условиях снижения добычи рыбы и с учетом изменений, произошедших в отрасли, важно рассмотреть пути привлечения новых инвестиций. Модернизация рыбопромыслового флота и оборудования позволит не только увеличить объемы добычи, но и улучшить качество продукции. Ведь устаревшие технологии зачастую приводят к потере конкурентоспособности на рынках. Правительственные субсидии и льготные кредиты могут стать катализатором для внедрения современных решений.</w:t>
      </w:r>
    </w:p>
    <w:p w:rsidR="005174C6" w:rsidRPr="00036B35" w:rsidRDefault="005174C6" w:rsidP="002E39A7">
      <w:pPr>
        <w:ind w:firstLine="709"/>
        <w:jc w:val="both"/>
      </w:pPr>
      <w:r w:rsidRPr="00036B35">
        <w:t xml:space="preserve">Форелевым хозяйством ООО «ВАК» на озерах </w:t>
      </w:r>
      <w:proofErr w:type="spellStart"/>
      <w:r w:rsidRPr="00036B35">
        <w:t>Шуезеро</w:t>
      </w:r>
      <w:proofErr w:type="spellEnd"/>
      <w:r w:rsidRPr="00036B35">
        <w:t xml:space="preserve"> и </w:t>
      </w:r>
      <w:proofErr w:type="spellStart"/>
      <w:r w:rsidRPr="00036B35">
        <w:t>Шагозеро</w:t>
      </w:r>
      <w:proofErr w:type="spellEnd"/>
      <w:r w:rsidRPr="00036B35">
        <w:t xml:space="preserve"> в 2023 году выращено 19,5 тонн рыбы (на 92,8 % меньше к 2022 г.), в первом полугодии 2024 года – </w:t>
      </w:r>
      <w:r>
        <w:t xml:space="preserve">           </w:t>
      </w:r>
      <w:r w:rsidRPr="00036B35">
        <w:t xml:space="preserve">0 тонн. Предприятием ООО «Чистый берег» за первое полугодие 2024 года выращено </w:t>
      </w:r>
      <w:r>
        <w:t xml:space="preserve">            </w:t>
      </w:r>
      <w:r w:rsidRPr="00036B35">
        <w:t xml:space="preserve">2,7 тонн рыбы. </w:t>
      </w:r>
    </w:p>
    <w:p w:rsidR="005174C6" w:rsidRPr="00036B35" w:rsidRDefault="005174C6" w:rsidP="002E39A7">
      <w:pPr>
        <w:ind w:firstLine="709"/>
        <w:jc w:val="both"/>
      </w:pPr>
      <w:r w:rsidRPr="00036B35">
        <w:t xml:space="preserve">В настоящее время на территории округа реализуется инвестиционный проект «Строительство </w:t>
      </w:r>
      <w:proofErr w:type="spellStart"/>
      <w:r w:rsidRPr="00036B35">
        <w:t>селекционно</w:t>
      </w:r>
      <w:proofErr w:type="spellEnd"/>
      <w:r w:rsidRPr="00036B35">
        <w:t xml:space="preserve"> – племенного центра рыбоводства на базе </w:t>
      </w:r>
      <w:proofErr w:type="spellStart"/>
      <w:r w:rsidRPr="00036B35">
        <w:t>Выгского</w:t>
      </w:r>
      <w:proofErr w:type="spellEnd"/>
      <w:r w:rsidRPr="00036B35">
        <w:t xml:space="preserve"> рыбоводного завода ФГБУ «</w:t>
      </w:r>
      <w:proofErr w:type="spellStart"/>
      <w:r w:rsidRPr="00036B35">
        <w:t>Главрыбвод</w:t>
      </w:r>
      <w:proofErr w:type="spellEnd"/>
      <w:r w:rsidRPr="00036B35">
        <w:t xml:space="preserve">» (в п. Сосновец). Новый завод будет специализироваться на разведении радужной форели и обеспечивать </w:t>
      </w:r>
      <w:proofErr w:type="spellStart"/>
      <w:r w:rsidRPr="00036B35">
        <w:t>форелеводов</w:t>
      </w:r>
      <w:proofErr w:type="spellEnd"/>
      <w:r w:rsidRPr="00036B35">
        <w:t xml:space="preserve"> Карелии оплодотворенной икрой высокого качества, а также мальком. Оборудование, которое будет установлено на заводе, позволит максимально эффективно управлять процессами разведения рыбы и обеспечивать высокое качество продукции, около </w:t>
      </w:r>
      <w:r>
        <w:t xml:space="preserve">                       </w:t>
      </w:r>
      <w:r w:rsidRPr="00036B35">
        <w:t>25 миллионов мальков в год. Строительство завода позволит существенно снизить затраты местных производителей и повысить конкурентоспособность карельской форели на российском рынке. Это создаст возможности для повышения инвестиций в рыбоводческий сектор и развития смежных услуг, таких как переработка и торговля рыбой. Кроме того, проект создаст новые рабочие места (более 80), что положительно скажется на экономике Беломорского муниципального округа. Ориентировочный срок ввода объекта – 2028 год</w:t>
      </w:r>
    </w:p>
    <w:p w:rsidR="005174C6" w:rsidRDefault="005174C6" w:rsidP="002E39A7">
      <w:pPr>
        <w:ind w:firstLine="709"/>
        <w:jc w:val="both"/>
      </w:pPr>
      <w:r w:rsidRPr="00117F61">
        <w:t>В 202</w:t>
      </w:r>
      <w:r>
        <w:t xml:space="preserve">3 году фактическую деятельность в области горнопромышленного комплекса на территории Беломорского муниципального округа осуществляет одна организация: ООО «Беломорский берег» (ИНН 1011009896). Основной вид деятельности                             </w:t>
      </w:r>
      <w:r>
        <w:lastRenderedPageBreak/>
        <w:t>ООО «Беломорский берег» - разработка гравийных и песчаных карьеров, добыча глины и каолина. Организация имеет лицензию на пользование недрами со сроком действия до               30 августа 2025 года. В 2023 году предприятием добыто 195,4 тыс. м. куб. песчано-гравийной смеси, что на 63,5% больше аналогичного показателя 2022 года. По итогам 2023 года объем фактической добычи составил 98% от установленного лицензией объема добычи. За первое полугодие 2024 года объем производства предприятия составил                   101 тыс. м. куб. песчано-гравийной смеси.</w:t>
      </w:r>
    </w:p>
    <w:p w:rsidR="005174C6" w:rsidRDefault="005174C6" w:rsidP="002E39A7">
      <w:pPr>
        <w:ind w:firstLine="709"/>
        <w:jc w:val="both"/>
      </w:pPr>
      <w:r>
        <w:t>Остальные предприятия имеющие лицензии на разработку месторождений                  (ООО «Полярная звезда», ООО «Грань»), в 2023 году и 1 полугодии 2024 года не осуществляли добычу строительного камня для производства щебня.</w:t>
      </w:r>
    </w:p>
    <w:p w:rsidR="005174C6" w:rsidRDefault="005174C6" w:rsidP="002E39A7">
      <w:pPr>
        <w:ind w:firstLine="709"/>
        <w:jc w:val="both"/>
      </w:pPr>
      <w:r>
        <w:t>В отношении ООО «Грань» (лицензия на разработку месторождения «Беломорское») в январе 2023 года определением суда было возбуждено дело о банкротстве, в декабре 2023 года действие лицензии на добычу строительного камня прекращено.</w:t>
      </w:r>
    </w:p>
    <w:p w:rsidR="005174C6" w:rsidRDefault="005174C6" w:rsidP="002E39A7">
      <w:pPr>
        <w:ind w:firstLine="709"/>
        <w:jc w:val="both"/>
      </w:pPr>
      <w:r>
        <w:t xml:space="preserve">Исходя из сведений, размещенных в системе Государственного информационного ресурса бухгалтерской (финансовой) отчетности Федеральной налоговой службы Российской Федерации, </w:t>
      </w:r>
      <w:proofErr w:type="spellStart"/>
      <w:r>
        <w:t>микропредприятие</w:t>
      </w:r>
      <w:proofErr w:type="spellEnd"/>
      <w:r>
        <w:t xml:space="preserve"> СООО - «</w:t>
      </w:r>
      <w:proofErr w:type="spellStart"/>
      <w:r>
        <w:t>Шуеваракка</w:t>
      </w:r>
      <w:proofErr w:type="spellEnd"/>
      <w:r>
        <w:t>» в рассматриваемый период имеет нулевой отчет о финансовых результатах деятельности, выручка                       ООО «Сосновецкое» в 2023 году составила 2,9 млн. руб.</w:t>
      </w:r>
    </w:p>
    <w:p w:rsidR="005174C6" w:rsidRPr="005E6E5E" w:rsidRDefault="005174C6" w:rsidP="005174C6">
      <w:pPr>
        <w:ind w:firstLine="709"/>
        <w:jc w:val="both"/>
      </w:pPr>
      <w:r>
        <w:t>Таким образом, в</w:t>
      </w:r>
      <w:r w:rsidRPr="005E6E5E">
        <w:t xml:space="preserve"> условиях активной деятельности ООО «Беломорский берег» на фоне спада в деятельности других лицензированных предприятий, заметен рост спроса на песчано-гравийные смеси в </w:t>
      </w:r>
      <w:r>
        <w:t>округе</w:t>
      </w:r>
      <w:r w:rsidRPr="005E6E5E">
        <w:t xml:space="preserve">. Увеличение добычи на 63,5% по сравнению с </w:t>
      </w:r>
      <w:r>
        <w:t xml:space="preserve">                         </w:t>
      </w:r>
      <w:r w:rsidRPr="005E6E5E">
        <w:t xml:space="preserve">2022 годом подчеркивает растущие потребности строительного сектора, что может быть связано с восстановлением экономической активности и новыми строительными проектами. Тем не менее, ситуация с другими компаниями, как ООО «Грань», указывает на нестабильность в отрасли. Процесс банкротства и прекращение лицензии этой организации сигнализирует о финансовых трудностях, с которыми сталкиваются предприятия в сфере добычи полезных ископаемых. </w:t>
      </w:r>
      <w:r>
        <w:t>Нулевой финансовый результат предприятия</w:t>
      </w:r>
      <w:r w:rsidRPr="005E6E5E">
        <w:t xml:space="preserve"> ООО «Полярная звезда» также ставит под сомнение потенциал конкуренции на рынке.</w:t>
      </w:r>
    </w:p>
    <w:p w:rsidR="005174C6" w:rsidRDefault="005174C6" w:rsidP="005174C6">
      <w:pPr>
        <w:ind w:firstLine="709"/>
        <w:jc w:val="both"/>
      </w:pPr>
      <w:r w:rsidRPr="00E1537B">
        <w:t>В условиях динамичного рынка</w:t>
      </w:r>
      <w:r>
        <w:t xml:space="preserve"> з</w:t>
      </w:r>
      <w:r w:rsidRPr="00117F61">
        <w:t>а 202</w:t>
      </w:r>
      <w:r>
        <w:t xml:space="preserve">3 год </w:t>
      </w:r>
      <w:r w:rsidRPr="00117F61">
        <w:t>отгружено товаров собственного производства, выполнено работ, услуг собственными силами на сумму</w:t>
      </w:r>
      <w:r>
        <w:t xml:space="preserve"> 5067,3 млн. </w:t>
      </w:r>
      <w:r w:rsidRPr="00117F61">
        <w:t xml:space="preserve">рублей или </w:t>
      </w:r>
      <w:r>
        <w:t>112</w:t>
      </w:r>
      <w:r w:rsidRPr="00117F61">
        <w:t>,</w:t>
      </w:r>
      <w:r>
        <w:t>3</w:t>
      </w:r>
      <w:r w:rsidRPr="00117F61">
        <w:t xml:space="preserve"> % к 202</w:t>
      </w:r>
      <w:r>
        <w:t>2 году. О</w:t>
      </w:r>
      <w:r w:rsidRPr="00E1537B">
        <w:t>жидаемое медленное увеличение объемов в будущем периоде может быть обусловлено различными факторами, такими как колебания на мировых рынках, изменения в законодательстве и конкурентная среда. Поэтому предприятиям необходимо адаптироваться к новым условиям, внедрять современные технологии и оптимизировать производственные процессы, чтобы сохранить конкурентоспособность.</w:t>
      </w:r>
    </w:p>
    <w:p w:rsidR="005174C6" w:rsidRPr="0098666F" w:rsidRDefault="005174C6" w:rsidP="005174C6">
      <w:pPr>
        <w:ind w:firstLine="709"/>
        <w:jc w:val="both"/>
      </w:pPr>
      <w:r w:rsidRPr="0098666F">
        <w:t>Беломорский муниципальный округ относится к Арктической зоне Российской Федерации. По состоянию на сентябрь 2024 года в Беломорском муниципальном округе зарегистрировано 9 резидентов Арктической зоны:</w:t>
      </w:r>
    </w:p>
    <w:p w:rsidR="005174C6" w:rsidRPr="0098666F" w:rsidRDefault="005174C6" w:rsidP="002E39A7">
      <w:pPr>
        <w:ind w:firstLine="709"/>
        <w:jc w:val="both"/>
      </w:pPr>
      <w:r>
        <w:t>1.</w:t>
      </w:r>
      <w:r>
        <w:tab/>
      </w:r>
      <w:r w:rsidRPr="0098666F">
        <w:t>ИП Байдаков Роман Сергеевич (ИНН 101101407904). Проект - строительство туристического комплекса на Белом море;</w:t>
      </w:r>
    </w:p>
    <w:p w:rsidR="005174C6" w:rsidRPr="0098666F" w:rsidRDefault="005174C6" w:rsidP="002E39A7">
      <w:pPr>
        <w:ind w:firstLine="709"/>
        <w:jc w:val="both"/>
      </w:pPr>
      <w:r>
        <w:t>2.</w:t>
      </w:r>
      <w:r>
        <w:tab/>
      </w:r>
      <w:r w:rsidRPr="0098666F">
        <w:t>ООО «Беломорский хлеб» (ИНН 1011011849). Проект - производство и реализация хлебобулочных изделий в г. Беломорске;</w:t>
      </w:r>
    </w:p>
    <w:p w:rsidR="005174C6" w:rsidRPr="0098666F" w:rsidRDefault="005174C6" w:rsidP="002E39A7">
      <w:pPr>
        <w:ind w:firstLine="709"/>
        <w:jc w:val="both"/>
      </w:pPr>
      <w:r>
        <w:t>3.</w:t>
      </w:r>
      <w:r>
        <w:tab/>
      </w:r>
      <w:r w:rsidRPr="0098666F">
        <w:t>ООО «Беломорский щебень» (ИНН 1011011824). Проект - организация производства щебня гранитного в г. Беломорске с целью организации комплекса по переработке строительного камня в щебень;</w:t>
      </w:r>
    </w:p>
    <w:p w:rsidR="005174C6" w:rsidRPr="0098666F" w:rsidRDefault="005174C6" w:rsidP="002E39A7">
      <w:pPr>
        <w:ind w:firstLine="709"/>
        <w:jc w:val="both"/>
      </w:pPr>
      <w:r>
        <w:t>4.</w:t>
      </w:r>
      <w:r>
        <w:tab/>
      </w:r>
      <w:r w:rsidRPr="0098666F">
        <w:t>ООО "Беломорская сказка". Проект - кафе-ресторан "</w:t>
      </w:r>
      <w:proofErr w:type="spellStart"/>
      <w:r w:rsidRPr="0098666F">
        <w:t>Беломорье</w:t>
      </w:r>
      <w:proofErr w:type="spellEnd"/>
      <w:r w:rsidRPr="0098666F">
        <w:t>";</w:t>
      </w:r>
    </w:p>
    <w:p w:rsidR="005174C6" w:rsidRPr="0098666F" w:rsidRDefault="005174C6" w:rsidP="002E39A7">
      <w:pPr>
        <w:ind w:firstLine="709"/>
        <w:jc w:val="both"/>
      </w:pPr>
      <w:r>
        <w:t>5.</w:t>
      </w:r>
      <w:r>
        <w:tab/>
      </w:r>
      <w:r w:rsidRPr="0098666F">
        <w:t>ООО "Необыкновенные путешествия", развитие охотхозяйства "</w:t>
      </w:r>
      <w:proofErr w:type="spellStart"/>
      <w:r w:rsidRPr="0098666F">
        <w:t>Кевятозерское</w:t>
      </w:r>
      <w:proofErr w:type="spellEnd"/>
      <w:r w:rsidRPr="0098666F">
        <w:t>";</w:t>
      </w:r>
    </w:p>
    <w:p w:rsidR="005174C6" w:rsidRPr="0098666F" w:rsidRDefault="005174C6" w:rsidP="002E39A7">
      <w:pPr>
        <w:ind w:firstLine="709"/>
        <w:jc w:val="both"/>
      </w:pPr>
      <w:r>
        <w:t>6.</w:t>
      </w:r>
      <w:r>
        <w:tab/>
      </w:r>
      <w:r w:rsidRPr="0098666F">
        <w:t>ИП Легкий Евгений Анатольевич (</w:t>
      </w:r>
      <w:proofErr w:type="spellStart"/>
      <w:r w:rsidRPr="0098666F">
        <w:t>Этнопарк</w:t>
      </w:r>
      <w:proofErr w:type="spellEnd"/>
      <w:r w:rsidRPr="0098666F">
        <w:t xml:space="preserve"> «</w:t>
      </w:r>
      <w:proofErr w:type="spellStart"/>
      <w:r w:rsidRPr="0098666F">
        <w:t>Географика</w:t>
      </w:r>
      <w:proofErr w:type="spellEnd"/>
      <w:r w:rsidRPr="0098666F">
        <w:t xml:space="preserve">») </w:t>
      </w:r>
      <w:r>
        <w:t xml:space="preserve">                                     </w:t>
      </w:r>
      <w:r w:rsidRPr="0098666F">
        <w:t>(ИНН 101100706637). Проект: создание современного комфортабельного туристического комплекса на побережье Белого моря;</w:t>
      </w:r>
    </w:p>
    <w:p w:rsidR="005174C6" w:rsidRPr="0098666F" w:rsidRDefault="005174C6" w:rsidP="002E39A7">
      <w:pPr>
        <w:ind w:firstLine="709"/>
        <w:jc w:val="both"/>
      </w:pPr>
      <w:r>
        <w:lastRenderedPageBreak/>
        <w:t>7.</w:t>
      </w:r>
      <w:r>
        <w:tab/>
      </w:r>
      <w:r w:rsidRPr="0098666F">
        <w:t>ООО «МОРСКИЕ БИОТЕХНОЛОГИИ» (ИНН 1000000387). Основной вид деятельности: обработка морских водорослей, в том числе морской капусты;</w:t>
      </w:r>
    </w:p>
    <w:p w:rsidR="005174C6" w:rsidRPr="0098666F" w:rsidRDefault="005174C6" w:rsidP="002E39A7">
      <w:pPr>
        <w:ind w:firstLine="709"/>
        <w:jc w:val="both"/>
      </w:pPr>
      <w:r>
        <w:t>8.</w:t>
      </w:r>
      <w:r>
        <w:tab/>
      </w:r>
      <w:r w:rsidRPr="0098666F">
        <w:t>ООО «Полярная звезда»</w:t>
      </w:r>
      <w:r>
        <w:t xml:space="preserve"> </w:t>
      </w:r>
      <w:r w:rsidRPr="0098666F">
        <w:t xml:space="preserve">(ИНН 1001189022). Организация производства щебня на месторождении Южно-Андреевское. В 2025 году в планах начать деятельность по добыче полезных ископаемых. </w:t>
      </w:r>
    </w:p>
    <w:p w:rsidR="005174C6" w:rsidRPr="0098666F" w:rsidRDefault="005174C6" w:rsidP="002E39A7">
      <w:pPr>
        <w:ind w:firstLine="709"/>
        <w:jc w:val="both"/>
      </w:pPr>
      <w:r>
        <w:t>9.</w:t>
      </w:r>
      <w:r>
        <w:tab/>
      </w:r>
      <w:r w:rsidRPr="0098666F">
        <w:t xml:space="preserve">ИП </w:t>
      </w:r>
      <w:proofErr w:type="spellStart"/>
      <w:r w:rsidRPr="0098666F">
        <w:t>Круженков</w:t>
      </w:r>
      <w:proofErr w:type="spellEnd"/>
      <w:r w:rsidRPr="0098666F">
        <w:t xml:space="preserve"> Павел Андреевич. Проект - экскурсионное бюро г. Беломорск.</w:t>
      </w:r>
    </w:p>
    <w:p w:rsidR="005174C6" w:rsidRPr="0098666F" w:rsidRDefault="005174C6" w:rsidP="002E39A7">
      <w:pPr>
        <w:ind w:firstLine="709"/>
        <w:jc w:val="both"/>
      </w:pPr>
      <w:r w:rsidRPr="0098666F">
        <w:t xml:space="preserve">С октября 2023 года Беломорский муниципальный округ включен в перечень опорных населенных пунктов Арктической зоны Российской Федерации, что положительно отразится на социально-экономическом развитии округа. </w:t>
      </w:r>
    </w:p>
    <w:p w:rsidR="005174C6" w:rsidRPr="0098666F" w:rsidRDefault="005174C6" w:rsidP="002E39A7">
      <w:pPr>
        <w:ind w:firstLine="709"/>
        <w:jc w:val="both"/>
      </w:pPr>
      <w:r w:rsidRPr="0098666F">
        <w:t xml:space="preserve">В настоящее время ведется разработка </w:t>
      </w:r>
      <w:proofErr w:type="spellStart"/>
      <w:r w:rsidRPr="0098666F">
        <w:t>мастер-плана</w:t>
      </w:r>
      <w:proofErr w:type="spellEnd"/>
      <w:r w:rsidRPr="0098666F">
        <w:t xml:space="preserve"> развития </w:t>
      </w:r>
      <w:proofErr w:type="spellStart"/>
      <w:r w:rsidRPr="0098666F">
        <w:t>Кемско-Беломорской</w:t>
      </w:r>
      <w:proofErr w:type="spellEnd"/>
      <w:r w:rsidRPr="0098666F">
        <w:t xml:space="preserve"> агломерации Республики Карелия, который призван стать основным инструментом стратегического развития региона на ближайшее десятилетие. Основное внимание уделяется улучшению инфраструктуры, повышению качества жизни местных жителей и созданию благоприятных условий для ведения бизнеса.</w:t>
      </w: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center"/>
        <w:rPr>
          <w:b/>
        </w:rPr>
      </w:pPr>
      <w:r w:rsidRPr="002E39A7">
        <w:rPr>
          <w:b/>
        </w:rPr>
        <w:t>4. Туризм</w:t>
      </w:r>
    </w:p>
    <w:p w:rsidR="005174C6" w:rsidRDefault="005174C6" w:rsidP="002E39A7">
      <w:pPr>
        <w:ind w:firstLine="709"/>
        <w:jc w:val="both"/>
      </w:pPr>
    </w:p>
    <w:p w:rsidR="005174C6" w:rsidRDefault="005174C6" w:rsidP="002E39A7">
      <w:pPr>
        <w:ind w:firstLine="709"/>
        <w:jc w:val="both"/>
      </w:pPr>
      <w:r>
        <w:t xml:space="preserve">На территории Беломорского муниципального округа по состоянию на                 01.01.2024 г. действуют 2 туроператора, официально внесенных в Федеральный реестр туроператоров: ООО «Поморье Тур» и ТК «Твоя Карелия». </w:t>
      </w:r>
    </w:p>
    <w:p w:rsidR="005174C6" w:rsidRDefault="005174C6" w:rsidP="002E39A7">
      <w:pPr>
        <w:ind w:firstLine="709"/>
        <w:jc w:val="both"/>
      </w:pPr>
      <w:r>
        <w:t xml:space="preserve">Количество коллективных средств размещения (КСР) -  24 единицы (517 мест) - гостиницы, мотели, </w:t>
      </w:r>
      <w:proofErr w:type="spellStart"/>
      <w:r>
        <w:t>хостелы</w:t>
      </w:r>
      <w:proofErr w:type="spellEnd"/>
      <w:r>
        <w:t>, другие организации гостиничного типа.</w:t>
      </w:r>
    </w:p>
    <w:p w:rsidR="005174C6" w:rsidRDefault="005174C6" w:rsidP="002E39A7">
      <w:pPr>
        <w:ind w:firstLine="709"/>
        <w:jc w:val="both"/>
      </w:pPr>
      <w:r w:rsidRPr="002E0787">
        <w:t>На территории Беломорского муниципального округа реализуется муниципальная программа «Развитие физической культуры, спорта, туризма и молодежной политики на 2024-2030 годы на территории Беломорского муниципального округа Республики Карелия».</w:t>
      </w:r>
    </w:p>
    <w:p w:rsidR="005174C6" w:rsidRDefault="005174C6" w:rsidP="002E39A7">
      <w:pPr>
        <w:ind w:firstLine="709"/>
        <w:jc w:val="both"/>
      </w:pPr>
      <w:r>
        <w:t>В Беломорском муниципальном округе сохранилось значительное количество культурно - исторических объектов. На государственном учете находится свыше                   200 памятников археологии, архитектуры, истории и искусства, 2 историко-культурных комплекса, 9 исторических населенных мест и 1 историко-культурная территория – Беломорские петроглифы, включенные комитетом ЮНЕСКО в список Всемирного культурного наследия в июле 2021 года.</w:t>
      </w:r>
    </w:p>
    <w:p w:rsidR="005174C6" w:rsidRDefault="005174C6" w:rsidP="002E39A7">
      <w:pPr>
        <w:ind w:firstLine="709"/>
        <w:jc w:val="both"/>
      </w:pPr>
      <w:r>
        <w:t>Среди наиболее известных природных объектов и объектов туристского показа являются: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музей Карельского фронта - филиал Национального музея Карелии                               (г. Беломорск);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павильон-музей «</w:t>
      </w:r>
      <w:proofErr w:type="spellStart"/>
      <w:r>
        <w:t>Бесовы</w:t>
      </w:r>
      <w:proofErr w:type="spellEnd"/>
      <w:r>
        <w:t xml:space="preserve"> следки» (вблизи д. </w:t>
      </w:r>
      <w:proofErr w:type="spellStart"/>
      <w:r>
        <w:t>Выгостров</w:t>
      </w:r>
      <w:proofErr w:type="spellEnd"/>
      <w:r>
        <w:t>), беломорские петроглифы в местечке «</w:t>
      </w:r>
      <w:proofErr w:type="spellStart"/>
      <w:r>
        <w:t>Залавруга</w:t>
      </w:r>
      <w:proofErr w:type="spellEnd"/>
      <w:r>
        <w:t>»;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Беломорский краеведческий музей (г. Беломорск, ул. Октябрьская 5а);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 xml:space="preserve">Церковь Николая Чудотворца 1602 г. деревянная (о.Троицкий на </w:t>
      </w:r>
      <w:proofErr w:type="spellStart"/>
      <w:r>
        <w:t>оз.Муезеро</w:t>
      </w:r>
      <w:proofErr w:type="spellEnd"/>
      <w:r>
        <w:t xml:space="preserve"> близ д. </w:t>
      </w:r>
      <w:proofErr w:type="spellStart"/>
      <w:r>
        <w:t>Ушково</w:t>
      </w:r>
      <w:proofErr w:type="spellEnd"/>
      <w:r>
        <w:t>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начало «</w:t>
      </w:r>
      <w:proofErr w:type="spellStart"/>
      <w:r>
        <w:t>Осударевой</w:t>
      </w:r>
      <w:proofErr w:type="spellEnd"/>
      <w:r>
        <w:t xml:space="preserve"> дороги» на Онежское озеро (д. Нюхча);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</w:r>
      <w:proofErr w:type="spellStart"/>
      <w:r>
        <w:t>листер-бот</w:t>
      </w:r>
      <w:proofErr w:type="spellEnd"/>
      <w:r>
        <w:t xml:space="preserve"> Петра Первого (с. Сумский Посад);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музей поморского быта «Хламной сарай» (д. Нюхча);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 xml:space="preserve">Церковь Петра и Павла в селе </w:t>
      </w:r>
      <w:proofErr w:type="spellStart"/>
      <w:r>
        <w:t>Вирма</w:t>
      </w:r>
      <w:proofErr w:type="spellEnd"/>
      <w:r>
        <w:t xml:space="preserve"> XVII в. (деревянная);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</w:r>
      <w:proofErr w:type="spellStart"/>
      <w:r>
        <w:t>Беломорско-Балтийский</w:t>
      </w:r>
      <w:proofErr w:type="spellEnd"/>
      <w:r>
        <w:t xml:space="preserve"> канал;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 xml:space="preserve">два ландшафтных заказника – </w:t>
      </w:r>
      <w:proofErr w:type="spellStart"/>
      <w:r>
        <w:t>Шуйостровский</w:t>
      </w:r>
      <w:proofErr w:type="spellEnd"/>
      <w:r>
        <w:t xml:space="preserve"> (10 тыс. га) и </w:t>
      </w:r>
      <w:proofErr w:type="spellStart"/>
      <w:r>
        <w:t>Сорокский</w:t>
      </w:r>
      <w:proofErr w:type="spellEnd"/>
      <w:r>
        <w:t xml:space="preserve">                            (73, 9 тыс. га),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 xml:space="preserve">озерно-речная система р. </w:t>
      </w:r>
      <w:proofErr w:type="spellStart"/>
      <w:r>
        <w:t>Охты</w:t>
      </w:r>
      <w:proofErr w:type="spellEnd"/>
      <w:r>
        <w:t xml:space="preserve">, а также реки </w:t>
      </w:r>
      <w:proofErr w:type="spellStart"/>
      <w:r>
        <w:t>Выг</w:t>
      </w:r>
      <w:proofErr w:type="spellEnd"/>
      <w:r>
        <w:t>, Сума и Шуя;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деревни и села, сохранившие поморский и карельский уклад жизни.</w:t>
      </w:r>
    </w:p>
    <w:p w:rsidR="005174C6" w:rsidRDefault="005174C6" w:rsidP="002E39A7">
      <w:pPr>
        <w:ind w:firstLine="709"/>
        <w:jc w:val="both"/>
      </w:pPr>
      <w:r w:rsidRPr="007A0CDC">
        <w:t xml:space="preserve">Уникальность </w:t>
      </w:r>
      <w:r>
        <w:t>Беломорского муниципального округа</w:t>
      </w:r>
      <w:r w:rsidRPr="007A0CDC">
        <w:t xml:space="preserve"> заключается в разнообразии культурного наследия и природных явлений. Возможность познакомиться с беломорскими петроглифами привлечет внимание исследователей и туристов, а наличие </w:t>
      </w:r>
      <w:r w:rsidRPr="007A0CDC">
        <w:lastRenderedPageBreak/>
        <w:t xml:space="preserve">музеев и исторических памятников создаст дополнительные условия для образовательного туризма. Близость к природным заповедникам и речным системам открывает перспективы для </w:t>
      </w:r>
      <w:proofErr w:type="spellStart"/>
      <w:r w:rsidRPr="007A0CDC">
        <w:t>экотуризма</w:t>
      </w:r>
      <w:proofErr w:type="spellEnd"/>
      <w:r w:rsidRPr="007A0CDC">
        <w:t xml:space="preserve"> и активных видов отдыха.</w:t>
      </w:r>
    </w:p>
    <w:p w:rsidR="005174C6" w:rsidRDefault="005174C6" w:rsidP="002E39A7">
      <w:pPr>
        <w:ind w:firstLine="709"/>
        <w:jc w:val="both"/>
      </w:pPr>
      <w:r>
        <w:t xml:space="preserve">В рамках проекта «Развитие инфраструктуры археологического комплекса «Беломорские петроглифы» ведется строительство </w:t>
      </w:r>
      <w:proofErr w:type="spellStart"/>
      <w:r>
        <w:t>визит-центра</w:t>
      </w:r>
      <w:proofErr w:type="spellEnd"/>
      <w:r>
        <w:t xml:space="preserve">, гостиницы для приема туристов, кафе и моста через реку Кислый </w:t>
      </w:r>
      <w:proofErr w:type="spellStart"/>
      <w:r>
        <w:t>Пудас</w:t>
      </w:r>
      <w:proofErr w:type="spellEnd"/>
      <w:r>
        <w:t xml:space="preserve">. Строительство моста через реку Кислый </w:t>
      </w:r>
      <w:proofErr w:type="spellStart"/>
      <w:r>
        <w:t>Пудас</w:t>
      </w:r>
      <w:proofErr w:type="spellEnd"/>
      <w:r>
        <w:t xml:space="preserve"> завершено в 2023 году. </w:t>
      </w:r>
    </w:p>
    <w:p w:rsidR="005174C6" w:rsidRDefault="005174C6" w:rsidP="002E39A7">
      <w:pPr>
        <w:ind w:firstLine="709"/>
        <w:jc w:val="both"/>
      </w:pPr>
      <w:r>
        <w:t>Согласно техническому заданию, центр будет включать зал с экспозицией музея, гостиницу на 40 номеров, ресторан на 150 мест и зону сувенирной продукцией. Деньги на строительство выделены из федерального и республиканского бюджетов. Ввод здания в эксплуатацию запланирован на 2024 год.</w:t>
      </w:r>
    </w:p>
    <w:p w:rsidR="005174C6" w:rsidRDefault="005174C6" w:rsidP="002E39A7">
      <w:pPr>
        <w:ind w:firstLine="709"/>
        <w:jc w:val="both"/>
      </w:pPr>
      <w:r>
        <w:t>Развитие инфраструктуры археологического комплекса «Беломорские петроглифы позволит на долгие годы создать точку притяжения туристического потока на севере Карелии.</w:t>
      </w:r>
      <w:r w:rsidRPr="007A0CDC">
        <w:t xml:space="preserve"> Новый инфраструктурный проект станет важным шагом в развитии </w:t>
      </w:r>
      <w:r>
        <w:t>Беломорского муниципального округа</w:t>
      </w:r>
      <w:r w:rsidRPr="007A0CDC">
        <w:t>, способствуя экономическому росту и созданию рабочих мест.</w:t>
      </w:r>
    </w:p>
    <w:p w:rsidR="005174C6" w:rsidRDefault="005174C6" w:rsidP="002E39A7">
      <w:pPr>
        <w:ind w:firstLine="709"/>
        <w:jc w:val="both"/>
      </w:pPr>
      <w:r>
        <w:t>В настоящее время несмотря на наличие потенциальных туристско-рекреационных возможностей, туристская индустрия остается недостаточно развитой. Сдерживающими факторами являются: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недостаточный уровень качества туристской и магистральной инфраструктуры, развития транспортной доступности;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неравномерный уровень загрузки и влияние фактора сезонности в использовании туристкой инфраструктуры;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слабая инвестиционная привлекательность туристской отрасли, высокие сроки окупаемости, что влияет на ограничения темпов развития и модернизации туристской инфраструктуры;</w:t>
      </w:r>
    </w:p>
    <w:p w:rsidR="005174C6" w:rsidRDefault="005174C6" w:rsidP="002E39A7">
      <w:pPr>
        <w:ind w:firstLine="709"/>
        <w:jc w:val="both"/>
      </w:pPr>
      <w:r>
        <w:t>-</w:t>
      </w:r>
      <w:r>
        <w:tab/>
        <w:t>отсутствие туристских продуктов, основанных на сочетании нескольких видов туризма (детский, культурно-познавательный, экологический), учитывающих туристские ресурсы и особенности социально-экономического развития.</w:t>
      </w:r>
    </w:p>
    <w:p w:rsidR="005174C6" w:rsidRDefault="005174C6" w:rsidP="002E39A7">
      <w:pPr>
        <w:ind w:firstLine="709"/>
        <w:jc w:val="both"/>
      </w:pPr>
      <w:r w:rsidRPr="00946B7F">
        <w:t>Кроме того, важным аспектом является недостаточн</w:t>
      </w:r>
      <w:r>
        <w:t>ое</w:t>
      </w:r>
      <w:r w:rsidRPr="00946B7F">
        <w:t xml:space="preserve"> развитие информационных технологий в туристской сфере. </w:t>
      </w:r>
      <w:r>
        <w:t>Т</w:t>
      </w:r>
      <w:r w:rsidRPr="00946B7F">
        <w:t>уристически</w:t>
      </w:r>
      <w:r>
        <w:t>е</w:t>
      </w:r>
      <w:r w:rsidRPr="00946B7F">
        <w:t xml:space="preserve"> компани</w:t>
      </w:r>
      <w:r>
        <w:t>и</w:t>
      </w:r>
      <w:r w:rsidRPr="00946B7F">
        <w:t xml:space="preserve"> не используют современные </w:t>
      </w:r>
      <w:proofErr w:type="spellStart"/>
      <w:r w:rsidRPr="00946B7F">
        <w:t>онлайн-платформы</w:t>
      </w:r>
      <w:proofErr w:type="spellEnd"/>
      <w:r w:rsidRPr="00946B7F">
        <w:t xml:space="preserve"> для продвижения своих услуг и привлечения туристов. Это сказывается на уровне конкуренции, ведь потенциальные клиенты предпочитают выбирать из множества предложений, используя интернет. Создание удобных и информативных </w:t>
      </w:r>
      <w:proofErr w:type="spellStart"/>
      <w:r w:rsidRPr="00946B7F">
        <w:t>веб-сайтов</w:t>
      </w:r>
      <w:proofErr w:type="spellEnd"/>
      <w:r w:rsidRPr="00946B7F">
        <w:t xml:space="preserve">, а также активное присутствие в социальных сетях могут значительно повысить интерес к </w:t>
      </w:r>
      <w:r>
        <w:t>округу</w:t>
      </w:r>
      <w:r w:rsidRPr="00946B7F">
        <w:t>.</w:t>
      </w:r>
    </w:p>
    <w:p w:rsidR="005174C6" w:rsidRDefault="005174C6" w:rsidP="002E39A7">
      <w:pPr>
        <w:ind w:firstLine="709"/>
        <w:jc w:val="both"/>
      </w:pPr>
      <w:r w:rsidRPr="00946B7F">
        <w:t>Также следует обратить внимание на кадровый дефицит в сфере туризма. Современные требования к туроператорам и гостиничному бизнесу требуют высокой квалификации и профессионализма. Нехватка специалистов, способных эффективно управлять туристскими услугами и обеспечивать высокий уровень сервиса, сдерживает развитие отрасли. Инвестиции в образование и подготовку кадров позволят улучшить качество предоставляемых услуг и увеличить туристический поток.</w:t>
      </w:r>
    </w:p>
    <w:p w:rsidR="005174C6" w:rsidRPr="00BC5E6D" w:rsidRDefault="005174C6" w:rsidP="002E39A7">
      <w:pPr>
        <w:ind w:firstLine="709"/>
        <w:jc w:val="both"/>
      </w:pPr>
      <w:r w:rsidRPr="00946B7F">
        <w:t xml:space="preserve">Важным шагом в развитии туристической отрасли стало бы создание привлекательных туристских продуктов, ориентированных на разные целевые группы. Например, комбинированные туры, включающие элементы </w:t>
      </w:r>
      <w:proofErr w:type="spellStart"/>
      <w:r w:rsidRPr="00946B7F">
        <w:t>экотуризма</w:t>
      </w:r>
      <w:proofErr w:type="spellEnd"/>
      <w:r w:rsidRPr="00946B7F">
        <w:t xml:space="preserve"> и культурных мероприятий, могут заинтересовать как семьи с детьми, так и молодежь. Тщательная проработка маршрутной сети и развитие новых туристических направлений способны максимально использовать потенциал </w:t>
      </w:r>
      <w:r>
        <w:t>округа</w:t>
      </w:r>
      <w:r w:rsidRPr="00946B7F">
        <w:t xml:space="preserve"> и привлечь большее количество посетителей.</w:t>
      </w:r>
    </w:p>
    <w:p w:rsidR="005174C6" w:rsidRPr="002E39A7" w:rsidRDefault="005174C6" w:rsidP="002E39A7">
      <w:pPr>
        <w:ind w:firstLine="709"/>
        <w:jc w:val="center"/>
        <w:rPr>
          <w:b/>
        </w:rPr>
      </w:pPr>
    </w:p>
    <w:p w:rsidR="005174C6" w:rsidRPr="002E39A7" w:rsidRDefault="005174C6" w:rsidP="002E39A7">
      <w:pPr>
        <w:ind w:firstLine="709"/>
        <w:jc w:val="center"/>
        <w:rPr>
          <w:b/>
        </w:rPr>
      </w:pPr>
      <w:r w:rsidRPr="002E39A7">
        <w:rPr>
          <w:b/>
        </w:rPr>
        <w:t>5. Строительство</w:t>
      </w:r>
    </w:p>
    <w:p w:rsidR="005174C6" w:rsidRPr="002E39A7" w:rsidRDefault="005174C6" w:rsidP="002E39A7">
      <w:pPr>
        <w:ind w:firstLine="709"/>
        <w:jc w:val="both"/>
      </w:pPr>
    </w:p>
    <w:p w:rsidR="005174C6" w:rsidRPr="00676C22" w:rsidRDefault="005174C6" w:rsidP="005174C6">
      <w:pPr>
        <w:ind w:firstLine="709"/>
        <w:jc w:val="both"/>
      </w:pPr>
      <w:r>
        <w:t xml:space="preserve">Для развития отрасли «строительство» необходимо разработать документы территориального планирования. </w:t>
      </w:r>
      <w:r w:rsidRPr="00676C22">
        <w:t xml:space="preserve">Выработка эффективных документов территориального </w:t>
      </w:r>
      <w:r w:rsidRPr="00676C22">
        <w:lastRenderedPageBreak/>
        <w:t>планирования позволит создать основу для привлечения новых инвестиций и реализации новых проектов, ориентированных на жилищное и коммунальное строительство. Важно, чтобы разработка таких документов вела к оптимизации использования земельных ресурсов</w:t>
      </w:r>
      <w:r>
        <w:t>.</w:t>
      </w:r>
    </w:p>
    <w:p w:rsidR="005174C6" w:rsidRDefault="005174C6" w:rsidP="005174C6">
      <w:pPr>
        <w:ind w:firstLine="709"/>
        <w:jc w:val="both"/>
      </w:pPr>
      <w:r>
        <w:t>Ввод в действие жилых домов в 2023 году составил 7,2 тыс. кв. м., по оценке в               2024 году, ввод составит около 2 тыс. кв. м. общей площади. В 2023 году</w:t>
      </w:r>
      <w:r w:rsidRPr="00CE67B4">
        <w:t xml:space="preserve"> заверш</w:t>
      </w:r>
      <w:r>
        <w:t>ено</w:t>
      </w:r>
      <w:r w:rsidRPr="00CE67B4">
        <w:t xml:space="preserve"> строительство 132-квартирного дома для расселения аварийного жилья</w:t>
      </w:r>
      <w:r>
        <w:t xml:space="preserve"> (г. Беломорск,                 ул. Строительная, 3).Также </w:t>
      </w:r>
      <w:r w:rsidRPr="00A5188A">
        <w:t>готов и прошел экспертизу проект на второй дом на этом же участке. Он рассчитан на 134 квартиры</w:t>
      </w:r>
      <w:r>
        <w:t xml:space="preserve"> (5,2 тыс. кв. м.)</w:t>
      </w:r>
      <w:r w:rsidRPr="00A5188A">
        <w:t>, его стро</w:t>
      </w:r>
      <w:r>
        <w:t>ительство запланировано на 2025 год</w:t>
      </w:r>
      <w:r w:rsidRPr="00A5188A">
        <w:t>.</w:t>
      </w:r>
    </w:p>
    <w:p w:rsidR="005174C6" w:rsidRPr="00A5188A" w:rsidRDefault="005174C6" w:rsidP="005174C6">
      <w:pPr>
        <w:ind w:firstLine="709"/>
        <w:jc w:val="both"/>
      </w:pPr>
      <w:r w:rsidRPr="007623CE">
        <w:t>В 2023 году Беломорским муниципальным районом завершена Региональная адресная программа по переселению граждан из аварийного жили</w:t>
      </w:r>
      <w:r>
        <w:t>щного фонда на 2019 – 2023 годы,</w:t>
      </w:r>
      <w:r w:rsidRPr="00A5188A">
        <w:t xml:space="preserve"> расселено 111 домов, 1199 чел.</w:t>
      </w:r>
      <w:r>
        <w:t>,</w:t>
      </w:r>
      <w:r w:rsidRPr="00A5188A">
        <w:t xml:space="preserve"> 26798,7 м.кв. жилья</w:t>
      </w:r>
      <w:r>
        <w:t>.</w:t>
      </w:r>
      <w:r w:rsidRPr="00676C22">
        <w:t xml:space="preserve"> Важным аспектом жилищной политики в Беломорском </w:t>
      </w:r>
      <w:r>
        <w:t>муниципальном округе</w:t>
      </w:r>
      <w:r w:rsidRPr="00676C22">
        <w:t xml:space="preserve"> является продолжение программы по переселению граждан из аварийного жилья. Законченная в 2023 году региональная адресная программа стала значительным шагом в улучшении жилищных условий для многих людей. Согласно новой программе </w:t>
      </w:r>
      <w:r>
        <w:t>на 2024-2030 годы, планируется расселить 361 дом, 2878 чел.</w:t>
      </w:r>
      <w:r w:rsidRPr="00A5188A">
        <w:t xml:space="preserve">, 63812,36 м.кв. жилья. </w:t>
      </w:r>
      <w:r>
        <w:t>В</w:t>
      </w:r>
      <w:r w:rsidRPr="00A5188A">
        <w:t xml:space="preserve"> 2024 </w:t>
      </w:r>
      <w:r>
        <w:t>планируется к расселению</w:t>
      </w:r>
      <w:r w:rsidRPr="00A5188A">
        <w:t xml:space="preserve"> </w:t>
      </w:r>
      <w:r>
        <w:t xml:space="preserve">                </w:t>
      </w:r>
      <w:r w:rsidRPr="00A5188A">
        <w:t>7 квартир.</w:t>
      </w:r>
    </w:p>
    <w:p w:rsidR="005174C6" w:rsidRDefault="005174C6" w:rsidP="005174C6">
      <w:pPr>
        <w:ind w:firstLine="709"/>
        <w:jc w:val="both"/>
      </w:pPr>
      <w:r w:rsidRPr="00E744DD">
        <w:t>В 2023 году на территории Беломорского района трём многодетным семьям предоставлены земельные участки для строительства индивидуальных жилых домов в собственность бесплатно.</w:t>
      </w:r>
    </w:p>
    <w:p w:rsidR="005174C6" w:rsidRPr="00117F61" w:rsidRDefault="005174C6" w:rsidP="005174C6">
      <w:pPr>
        <w:ind w:firstLine="709"/>
        <w:jc w:val="both"/>
      </w:pPr>
    </w:p>
    <w:p w:rsidR="005174C6" w:rsidRPr="002E39A7" w:rsidRDefault="005174C6" w:rsidP="002E39A7">
      <w:pPr>
        <w:ind w:firstLine="709"/>
        <w:jc w:val="center"/>
        <w:rPr>
          <w:b/>
        </w:rPr>
      </w:pPr>
      <w:r w:rsidRPr="002E39A7">
        <w:rPr>
          <w:b/>
        </w:rPr>
        <w:t>6. Финансы предприятий</w:t>
      </w:r>
    </w:p>
    <w:p w:rsidR="005174C6" w:rsidRPr="002E39A7" w:rsidRDefault="005174C6" w:rsidP="002E39A7">
      <w:pPr>
        <w:ind w:firstLine="709"/>
        <w:jc w:val="both"/>
      </w:pPr>
    </w:p>
    <w:p w:rsidR="005174C6" w:rsidRDefault="005174C6" w:rsidP="002E39A7">
      <w:pPr>
        <w:ind w:firstLine="709"/>
        <w:jc w:val="both"/>
      </w:pPr>
      <w:r>
        <w:t>На развитие экономики и социальной сферы Беломорского муниципального района в январе-сентябре 2023г. использовано 764371 тыс. рублей инвестиций в основной капитал. Доля Беломорского муниципального района составила 1,9% в общем объёме инвестиций по республике.</w:t>
      </w:r>
    </w:p>
    <w:p w:rsidR="005174C6" w:rsidRDefault="005174C6" w:rsidP="002E39A7">
      <w:pPr>
        <w:ind w:firstLine="709"/>
        <w:jc w:val="both"/>
      </w:pPr>
      <w:r w:rsidRPr="00117F61">
        <w:t>Из общего количества обследуемых статистикой крупных и средних предприятий за 202</w:t>
      </w:r>
      <w:r>
        <w:t>3</w:t>
      </w:r>
      <w:r w:rsidRPr="00117F61">
        <w:t xml:space="preserve"> год доля прибыльных предприятий составила</w:t>
      </w:r>
      <w:r>
        <w:t xml:space="preserve"> 6</w:t>
      </w:r>
      <w:r w:rsidRPr="00117F61">
        <w:t>0 % и получена прибыль 1</w:t>
      </w:r>
      <w:r>
        <w:t>51</w:t>
      </w:r>
      <w:r w:rsidRPr="00117F61">
        <w:t xml:space="preserve">,0 млн. рублей, доля убыточных предприятий – </w:t>
      </w:r>
      <w:r>
        <w:t>2</w:t>
      </w:r>
      <w:r w:rsidRPr="00117F61">
        <w:t xml:space="preserve">0 % и получен убыток </w:t>
      </w:r>
      <w:r>
        <w:t>53</w:t>
      </w:r>
      <w:r w:rsidRPr="00117F61">
        <w:t xml:space="preserve"> млн. рублей. Сальдированный финансовый результат за 202</w:t>
      </w:r>
      <w:r>
        <w:t>3</w:t>
      </w:r>
      <w:r w:rsidRPr="00117F61">
        <w:t xml:space="preserve"> год составил </w:t>
      </w:r>
      <w:r w:rsidRPr="00CD04BF">
        <w:t>98</w:t>
      </w:r>
      <w:r>
        <w:t xml:space="preserve"> </w:t>
      </w:r>
      <w:r w:rsidRPr="00117F61">
        <w:t xml:space="preserve">млн. рублей. </w:t>
      </w:r>
    </w:p>
    <w:p w:rsidR="005174C6" w:rsidRPr="00117F61" w:rsidRDefault="005174C6" w:rsidP="002E39A7">
      <w:pPr>
        <w:ind w:firstLine="709"/>
        <w:jc w:val="both"/>
      </w:pPr>
      <w:r>
        <w:t xml:space="preserve"> За январь-май 2024г. положительный сальдированный финансовый результат (прибыль минус убыток) составил 884,4 млн. рублей, за соответствующий период прошлого года был получен положительный сальдированный финансовый результат в сумме 23,5 млн. рублей. </w:t>
      </w:r>
      <w:r w:rsidRPr="00117F61">
        <w:t>По оценке 202</w:t>
      </w:r>
      <w:r>
        <w:t>4</w:t>
      </w:r>
      <w:r w:rsidRPr="00117F61">
        <w:t xml:space="preserve"> года ожидается прибыль прибыльных организаций</w:t>
      </w:r>
      <w:r>
        <w:t xml:space="preserve"> в объеме 1822</w:t>
      </w:r>
      <w:r w:rsidRPr="00117F61">
        <w:t xml:space="preserve"> млн. рублей и налогооблагаемая прибыль в объеме </w:t>
      </w:r>
      <w:r>
        <w:t xml:space="preserve">                          98</w:t>
      </w:r>
      <w:r w:rsidRPr="00117F61">
        <w:t xml:space="preserve"> млн. рублей.</w:t>
      </w:r>
    </w:p>
    <w:p w:rsidR="005174C6" w:rsidRPr="00117F61" w:rsidRDefault="005174C6" w:rsidP="002E39A7">
      <w:pPr>
        <w:ind w:firstLine="709"/>
        <w:jc w:val="both"/>
      </w:pPr>
      <w:r w:rsidRPr="00117F61">
        <w:t>Объем инвестиций в основной капитал (за исключением бюджетных средств) в расчете на 1 жителя за 202</w:t>
      </w:r>
      <w:r>
        <w:t>3</w:t>
      </w:r>
      <w:r w:rsidRPr="00117F61">
        <w:t xml:space="preserve"> год составил </w:t>
      </w:r>
      <w:r>
        <w:t>62119</w:t>
      </w:r>
      <w:r w:rsidRPr="00117F61">
        <w:t xml:space="preserve"> рублей. В 202</w:t>
      </w:r>
      <w:r>
        <w:t>4</w:t>
      </w:r>
      <w:r w:rsidRPr="00117F61">
        <w:t xml:space="preserve"> году ожидается – </w:t>
      </w:r>
      <w:r>
        <w:t xml:space="preserve">                        201 717</w:t>
      </w:r>
      <w:r w:rsidRPr="00117F61">
        <w:t xml:space="preserve"> рублей на 1 жителя.</w:t>
      </w:r>
    </w:p>
    <w:p w:rsidR="005174C6" w:rsidRPr="002E39A7" w:rsidRDefault="005174C6" w:rsidP="002E39A7">
      <w:pPr>
        <w:ind w:firstLine="709"/>
        <w:jc w:val="both"/>
      </w:pPr>
      <w:r w:rsidRPr="00117F61">
        <w:t xml:space="preserve">Основной объём прибыли формируется за счёт </w:t>
      </w:r>
      <w:r>
        <w:t xml:space="preserve">специализированных строительных работ и строительства инженерных сооружений. </w:t>
      </w:r>
    </w:p>
    <w:p w:rsidR="005174C6" w:rsidRDefault="005174C6" w:rsidP="002E39A7">
      <w:pPr>
        <w:ind w:firstLine="709"/>
        <w:jc w:val="both"/>
      </w:pPr>
      <w:r w:rsidRPr="00117F61">
        <w:t xml:space="preserve">В основном, инвестиционные средства направлялись на приобретение машин, оборудования, транспортных средств. Источниками финансирования инвестиций на </w:t>
      </w:r>
      <w:r>
        <w:t>79</w:t>
      </w:r>
      <w:r w:rsidRPr="00117F61">
        <w:t>% являются собственные средства предприятий.</w:t>
      </w:r>
    </w:p>
    <w:p w:rsidR="005174C6" w:rsidRDefault="005174C6" w:rsidP="002E39A7">
      <w:pPr>
        <w:ind w:firstLine="709"/>
        <w:jc w:val="both"/>
      </w:pPr>
      <w:r w:rsidRPr="001C43B5">
        <w:t xml:space="preserve">Для поддержания стабильного роста важно продолжать диверсификацию источников финансирования. Хотя собственные средства предприятий остаются основным источником инвестиций, привлечение сторонних инвестиций может дать дополнительные возможности для расширения и улучшения качества услуг. Эффективная работа с инвесторами позволит реализовать крупные проекты, которые будут способствовать долгосрочному развитию. Также значительное внимание следует уделить развитию местного предпринимательства и улучшению </w:t>
      </w:r>
      <w:proofErr w:type="spellStart"/>
      <w:r w:rsidRPr="001C43B5">
        <w:t>бизнес-климата</w:t>
      </w:r>
      <w:proofErr w:type="spellEnd"/>
      <w:r w:rsidRPr="001C43B5">
        <w:t xml:space="preserve">. Поддержка </w:t>
      </w:r>
      <w:r w:rsidRPr="001C43B5">
        <w:lastRenderedPageBreak/>
        <w:t xml:space="preserve">малых и средних предприятий станет залогом устойчивого экономического роста и повысит жизнеобеспечение населения. Стимулирование инноваций и внедрение новых технологий помогут </w:t>
      </w:r>
      <w:r>
        <w:t>округу</w:t>
      </w:r>
      <w:r w:rsidRPr="001C43B5">
        <w:t xml:space="preserve"> занять конкурентные позиции на рынках.</w:t>
      </w:r>
    </w:p>
    <w:p w:rsidR="005174C6" w:rsidRPr="00117F61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center"/>
        <w:rPr>
          <w:b/>
        </w:rPr>
      </w:pPr>
      <w:r w:rsidRPr="002E39A7">
        <w:rPr>
          <w:b/>
        </w:rPr>
        <w:t>7. Труд и заработная плата</w:t>
      </w:r>
    </w:p>
    <w:p w:rsidR="005174C6" w:rsidRPr="002E39A7" w:rsidRDefault="005174C6" w:rsidP="002E39A7">
      <w:pPr>
        <w:ind w:firstLine="709"/>
        <w:jc w:val="both"/>
      </w:pPr>
    </w:p>
    <w:p w:rsidR="005174C6" w:rsidRPr="00117F61" w:rsidRDefault="005174C6" w:rsidP="002E39A7">
      <w:pPr>
        <w:ind w:firstLine="709"/>
        <w:jc w:val="both"/>
      </w:pPr>
      <w:r w:rsidRPr="00117F61">
        <w:t>В структуре доходов населения доминирующее положение занимает заработная плата.</w:t>
      </w:r>
    </w:p>
    <w:p w:rsidR="005174C6" w:rsidRPr="00117F61" w:rsidRDefault="005174C6" w:rsidP="005174C6">
      <w:pPr>
        <w:ind w:firstLine="709"/>
        <w:jc w:val="both"/>
      </w:pPr>
      <w:r w:rsidRPr="00117F61">
        <w:t>В 202</w:t>
      </w:r>
      <w:r>
        <w:t>3</w:t>
      </w:r>
      <w:r w:rsidRPr="00117F61">
        <w:t xml:space="preserve"> году среднемесячная заработная плата составила </w:t>
      </w:r>
      <w:r>
        <w:t>74644</w:t>
      </w:r>
      <w:r w:rsidRPr="00117F61">
        <w:t xml:space="preserve">,4 рублей, в </w:t>
      </w:r>
      <w:r>
        <w:t xml:space="preserve">                  </w:t>
      </w:r>
      <w:r w:rsidRPr="00117F61">
        <w:t>202</w:t>
      </w:r>
      <w:r>
        <w:t>2</w:t>
      </w:r>
      <w:r w:rsidRPr="00117F61">
        <w:t xml:space="preserve"> году – </w:t>
      </w:r>
      <w:r w:rsidRPr="001918DE">
        <w:t xml:space="preserve">67 798,4 </w:t>
      </w:r>
      <w:r w:rsidRPr="00117F61">
        <w:t>рублей (увеличение по сравнению с 202</w:t>
      </w:r>
      <w:r>
        <w:t>2</w:t>
      </w:r>
      <w:r w:rsidRPr="00117F61">
        <w:t xml:space="preserve"> годом в сумме составило </w:t>
      </w:r>
      <w:r>
        <w:t>6846</w:t>
      </w:r>
      <w:r w:rsidRPr="00117F61">
        <w:t xml:space="preserve"> рублей или на </w:t>
      </w:r>
      <w:r>
        <w:t>10</w:t>
      </w:r>
      <w:r w:rsidRPr="00117F61">
        <w:t xml:space="preserve">%). В целом по Республике Карелия средняя заработная плата составила – </w:t>
      </w:r>
      <w:r w:rsidRPr="003D12F4">
        <w:t xml:space="preserve">68024,8 </w:t>
      </w:r>
      <w:r w:rsidRPr="00117F61">
        <w:t>рублей и выросла в сравнении с 202</w:t>
      </w:r>
      <w:r>
        <w:t>2</w:t>
      </w:r>
      <w:r w:rsidRPr="00117F61">
        <w:t xml:space="preserve"> годом на </w:t>
      </w:r>
      <w:r>
        <w:t>12</w:t>
      </w:r>
      <w:r w:rsidRPr="00117F61">
        <w:t xml:space="preserve"> %.</w:t>
      </w:r>
    </w:p>
    <w:p w:rsidR="005174C6" w:rsidRPr="00117F61" w:rsidRDefault="005174C6" w:rsidP="002E39A7">
      <w:pPr>
        <w:ind w:firstLine="709"/>
        <w:jc w:val="both"/>
      </w:pPr>
      <w:r w:rsidRPr="00117F61">
        <w:t>В связи с ростом заработной платы также на 202</w:t>
      </w:r>
      <w:r>
        <w:t>4</w:t>
      </w:r>
      <w:r w:rsidRPr="00117F61">
        <w:t xml:space="preserve"> год прогнозируется рост фонда заработной платы с учетом необлагаемой его части </w:t>
      </w:r>
      <w:r>
        <w:t xml:space="preserve">порядка 6441,2 </w:t>
      </w:r>
      <w:r w:rsidRPr="00117F61">
        <w:t>млн. рублей.</w:t>
      </w:r>
    </w:p>
    <w:p w:rsidR="005174C6" w:rsidRPr="00A14050" w:rsidRDefault="005174C6" w:rsidP="005174C6">
      <w:pPr>
        <w:ind w:firstLine="709"/>
        <w:jc w:val="both"/>
      </w:pPr>
      <w:r w:rsidRPr="00117F61">
        <w:t xml:space="preserve">В </w:t>
      </w:r>
      <w:r w:rsidRPr="00A14050">
        <w:t>среднесрочной перспективе прогнозируется рост фонда заработной платы, который к 202</w:t>
      </w:r>
      <w:r>
        <w:t>7</w:t>
      </w:r>
      <w:r w:rsidRPr="00A14050">
        <w:t xml:space="preserve"> году по отношению к 202</w:t>
      </w:r>
      <w:r>
        <w:t>3</w:t>
      </w:r>
      <w:r w:rsidRPr="00A14050">
        <w:t xml:space="preserve"> году увеличится на </w:t>
      </w:r>
      <w:r>
        <w:t>2246,6</w:t>
      </w:r>
      <w:r w:rsidRPr="00A14050">
        <w:t xml:space="preserve"> млн. рублей.</w:t>
      </w:r>
    </w:p>
    <w:p w:rsidR="005174C6" w:rsidRPr="00A14050" w:rsidRDefault="005174C6" w:rsidP="005174C6">
      <w:pPr>
        <w:ind w:firstLine="709"/>
        <w:jc w:val="both"/>
      </w:pPr>
      <w:r w:rsidRPr="00A14050">
        <w:t>За январь-декабрь 202</w:t>
      </w:r>
      <w:r>
        <w:t>3</w:t>
      </w:r>
      <w:r w:rsidRPr="00A14050">
        <w:t xml:space="preserve"> года на регулируемом рынке труда искали работу </w:t>
      </w:r>
      <w:r>
        <w:t xml:space="preserve">                      </w:t>
      </w:r>
      <w:r w:rsidRPr="00A14050">
        <w:t>5</w:t>
      </w:r>
      <w:r>
        <w:t>21</w:t>
      </w:r>
      <w:r w:rsidRPr="00A14050">
        <w:t xml:space="preserve"> человек (с учетом зарегистрированных в Агентстве занятости населения). </w:t>
      </w:r>
      <w:r w:rsidRPr="000B2477">
        <w:t xml:space="preserve">За </w:t>
      </w:r>
      <w:r>
        <w:t xml:space="preserve">                         </w:t>
      </w:r>
      <w:r w:rsidRPr="000B2477">
        <w:t xml:space="preserve">6 месяцев 2024 года признано безработными 253 чел., что на 71 % меньше </w:t>
      </w:r>
      <w:r w:rsidRPr="002E39A7">
        <w:t>по отношению к аналогичному периоду 2023 года.</w:t>
      </w:r>
    </w:p>
    <w:p w:rsidR="005174C6" w:rsidRPr="00A37E6D" w:rsidRDefault="005174C6" w:rsidP="005174C6">
      <w:pPr>
        <w:ind w:firstLine="709"/>
        <w:jc w:val="both"/>
      </w:pPr>
      <w:r>
        <w:t xml:space="preserve">В течение 2023 года 92 работодателя заявили сведения о потребности                                    1044 работников. </w:t>
      </w:r>
      <w:r>
        <w:tab/>
        <w:t>По состоянию на 01.01.2024г. в агентстве занятости населения зарегистрировано 143 вакантных рабочих места и должности, из них 64 – для замещения рабочих профессий. В числе наиболее востребованных: врачи различных специализаций и средний медицинский персонал, учителя различных специализаций, сотрудники полиции различных должностей, водители автомобиля, государственные инспектора по охране леса, монтеры пути, электромонтеры.</w:t>
      </w:r>
      <w:r w:rsidRPr="00EC79F0">
        <w:t xml:space="preserve"> Дефицит квалифицированных кадров вызван оттоком трудоспособного населения за пределы </w:t>
      </w:r>
      <w:r>
        <w:t>округа.</w:t>
      </w:r>
    </w:p>
    <w:p w:rsidR="005174C6" w:rsidRDefault="005174C6" w:rsidP="005174C6">
      <w:pPr>
        <w:ind w:firstLine="709"/>
        <w:jc w:val="both"/>
      </w:pPr>
      <w:r w:rsidRPr="003E279B">
        <w:t>За 2023г. в службу занятости по вопросу трудоустройства обратились 755 человек, трудоустроены 519 человек</w:t>
      </w:r>
      <w:r>
        <w:t>.</w:t>
      </w:r>
    </w:p>
    <w:p w:rsidR="005174C6" w:rsidRDefault="005174C6" w:rsidP="005174C6">
      <w:pPr>
        <w:ind w:firstLine="709"/>
        <w:jc w:val="both"/>
      </w:pPr>
      <w:r>
        <w:t>В рамках реализации мероприятий активной политики содействия занятости за 2023 год удалось обеспечить:</w:t>
      </w:r>
    </w:p>
    <w:p w:rsidR="005174C6" w:rsidRDefault="005174C6" w:rsidP="002E39A7">
      <w:pPr>
        <w:ind w:firstLine="709"/>
        <w:jc w:val="both"/>
      </w:pPr>
      <w:r>
        <w:t>•</w:t>
      </w:r>
      <w:r>
        <w:tab/>
        <w:t>временную занятость на оплачиваемые общественные работы 24 чел.;</w:t>
      </w:r>
    </w:p>
    <w:p w:rsidR="005174C6" w:rsidRDefault="005174C6" w:rsidP="002E39A7">
      <w:pPr>
        <w:ind w:firstLine="709"/>
        <w:jc w:val="both"/>
      </w:pPr>
      <w:r>
        <w:t>•</w:t>
      </w:r>
      <w:r>
        <w:tab/>
        <w:t>временное трудоустройство 5 граждан, испытывающих трудности в поиске работы;</w:t>
      </w:r>
    </w:p>
    <w:p w:rsidR="005174C6" w:rsidRDefault="005174C6" w:rsidP="002E39A7">
      <w:pPr>
        <w:ind w:firstLine="709"/>
        <w:jc w:val="both"/>
      </w:pPr>
      <w:r>
        <w:t>•</w:t>
      </w:r>
      <w:r>
        <w:tab/>
        <w:t>временное трудоустройство несовершеннолетних граждан от 14 до 18 лет в свободное от учёбы время – 85 чел.;</w:t>
      </w:r>
    </w:p>
    <w:p w:rsidR="005174C6" w:rsidRDefault="005174C6" w:rsidP="002E39A7">
      <w:pPr>
        <w:ind w:firstLine="709"/>
        <w:jc w:val="both"/>
      </w:pPr>
      <w:r>
        <w:t>•</w:t>
      </w:r>
      <w:r>
        <w:tab/>
        <w:t>содействие началу осуществления предпринимательской деятельности                          21 безработному гражданину (10 – индивидуальные предприниматели, 11 - налогоплательщики налога на профессиональный доход).</w:t>
      </w:r>
      <w:r w:rsidRPr="000A73BE">
        <w:t xml:space="preserve"> Основными видами деятельности, которые привлекли внимание начинающих предпринимателей, стали такие, как ремонт помещений, торговля, услуги графического дизайнера, парикмахерские и бухгалтерские услуги, услуги по маникюру, производство кондитерских изделий, услуги по перевозке пассажиров.</w:t>
      </w:r>
    </w:p>
    <w:p w:rsidR="005174C6" w:rsidRDefault="005174C6" w:rsidP="005174C6">
      <w:pPr>
        <w:ind w:firstLine="709"/>
        <w:jc w:val="both"/>
      </w:pPr>
      <w:r>
        <w:t xml:space="preserve">В 2023 году в Карелии по нацпроекту «Демография» прошли обучение 27 человек. По таким программам, как: юриспруденция, государственное и муниципальное управление, управление персоналом и кадровое делопроизводство, специалист в сфере закупок, графический дизайн, психология, экскурсовод (гид), тренер-преподаватель физической культуры, консультант по пищевому поведению, специалист по операциям с недвижимостью, защита персональных данных в организации, предпринимательство в </w:t>
      </w:r>
      <w:proofErr w:type="spellStart"/>
      <w:r>
        <w:t>бьюти-индустрии</w:t>
      </w:r>
      <w:proofErr w:type="spellEnd"/>
      <w:r>
        <w:t xml:space="preserve">, специалист по </w:t>
      </w:r>
      <w:proofErr w:type="spellStart"/>
      <w:r>
        <w:t>таргетированной</w:t>
      </w:r>
      <w:proofErr w:type="spellEnd"/>
      <w:r>
        <w:t xml:space="preserve"> рекламе и SMM, тракторист, сварщик ручной дуговой сварки плавящимся покрытым электродом.</w:t>
      </w:r>
    </w:p>
    <w:p w:rsidR="005174C6" w:rsidRDefault="005174C6" w:rsidP="005174C6">
      <w:pPr>
        <w:ind w:firstLine="709"/>
        <w:jc w:val="both"/>
      </w:pPr>
      <w:r>
        <w:t>С начала 2024 года по проекту «Демография» приступили к обучению 3 жителя Беломорского округа.</w:t>
      </w:r>
    </w:p>
    <w:p w:rsidR="005174C6" w:rsidRPr="00117F61" w:rsidRDefault="005174C6" w:rsidP="005174C6">
      <w:pPr>
        <w:ind w:firstLine="709"/>
        <w:jc w:val="both"/>
      </w:pPr>
      <w:r w:rsidRPr="002576EC">
        <w:lastRenderedPageBreak/>
        <w:t xml:space="preserve">Ситуация с выплатой заработной платы на территории </w:t>
      </w:r>
      <w:r>
        <w:t>Беломорского муниципального округа</w:t>
      </w:r>
      <w:r w:rsidRPr="002576EC">
        <w:t xml:space="preserve"> в целом стабильная.</w:t>
      </w:r>
    </w:p>
    <w:p w:rsidR="005174C6" w:rsidRDefault="005174C6" w:rsidP="005174C6">
      <w:pPr>
        <w:ind w:firstLine="709"/>
        <w:jc w:val="both"/>
      </w:pPr>
      <w:r>
        <w:t>В текущих условиях экономического развития Республики Карелия акцент на повышение заработной платы создает положительную динамику в трудовом рынке. Повышение средней заработной платы не только улучшает финансовое положение граждан, но и способствует росту покупательной способности населения. Это, в свою очередь, может привести к увеличению спроса на товары и услуги, что станет стимулом для дальнейшего роста экономики округа.</w:t>
      </w:r>
    </w:p>
    <w:p w:rsidR="005174C6" w:rsidRDefault="005174C6" w:rsidP="005174C6">
      <w:pPr>
        <w:ind w:firstLine="709"/>
        <w:jc w:val="both"/>
      </w:pPr>
      <w:r>
        <w:t>Вместе с тем, важно отметить, что рынок труда остается динамичным. Необходимость в специалистах различных профессий свидетельствует о потребностях экономики. Вакансии в здравоохранении, образовании и правоохранительных органах остаются особенно востребованными, что говорит о необходимости целенаправленного образования и профессиональной подготовки молодежи.</w:t>
      </w:r>
    </w:p>
    <w:p w:rsidR="005174C6" w:rsidRPr="00117F61" w:rsidRDefault="005174C6" w:rsidP="005174C6">
      <w:pPr>
        <w:ind w:firstLine="709"/>
        <w:jc w:val="both"/>
      </w:pPr>
      <w:r>
        <w:t>Поддержка предпринимательства и развитие активной политики занятости также являются ключевыми факторами в улучшении ситуации на рынке труда. Реализация программ, направленных на помощь начинающим предпринимателям, способствует созданию новых рабочих мест и повышению конкурентоспособности округа. Ожидается, что такие меры будут продолжаться, что позволит позитивно изменить структуру занятости.</w:t>
      </w:r>
      <w:r w:rsidRPr="00E80D06">
        <w:t xml:space="preserve"> Нельзя не отметить и значимость образовательных программ в рамках нацпроектов. Обучение граждан новым профессиям и повышение квалификации способствуют созданию высококвалифицированного рабочего потенциала, который будет востребован на рынке труда.</w:t>
      </w:r>
    </w:p>
    <w:p w:rsidR="005174C6" w:rsidRPr="00117F61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Default="005174C6" w:rsidP="002E39A7">
      <w:pPr>
        <w:ind w:firstLine="709"/>
        <w:jc w:val="both"/>
      </w:pPr>
      <w:bookmarkStart w:id="0" w:name="_GoBack"/>
      <w:bookmarkEnd w:id="0"/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Default="002E39A7" w:rsidP="002E39A7">
      <w:pPr>
        <w:ind w:firstLine="709"/>
        <w:jc w:val="both"/>
      </w:pPr>
    </w:p>
    <w:p w:rsidR="002E39A7" w:rsidRPr="002E39A7" w:rsidRDefault="002E39A7" w:rsidP="002E39A7">
      <w:pPr>
        <w:ind w:firstLine="709"/>
        <w:jc w:val="both"/>
      </w:pPr>
    </w:p>
    <w:p w:rsidR="005174C6" w:rsidRPr="002E39A7" w:rsidRDefault="005174C6" w:rsidP="002E39A7">
      <w:pPr>
        <w:ind w:firstLine="709"/>
        <w:jc w:val="both"/>
      </w:pPr>
    </w:p>
    <w:p w:rsidR="005174C6" w:rsidRPr="002E39A7" w:rsidRDefault="005174C6" w:rsidP="002E39A7">
      <w:pPr>
        <w:ind w:firstLine="709"/>
      </w:pPr>
      <w:r w:rsidRPr="002E39A7">
        <w:t>Приложение 1</w:t>
      </w:r>
    </w:p>
    <w:p w:rsidR="005174C6" w:rsidRPr="002E39A7" w:rsidRDefault="005174C6" w:rsidP="002E39A7">
      <w:pPr>
        <w:ind w:firstLine="709"/>
      </w:pPr>
      <w:r w:rsidRPr="002E39A7">
        <w:t>к Порядку разработки</w:t>
      </w:r>
    </w:p>
    <w:p w:rsidR="005174C6" w:rsidRPr="002E39A7" w:rsidRDefault="005174C6" w:rsidP="002E39A7">
      <w:pPr>
        <w:ind w:firstLine="709"/>
      </w:pPr>
      <w:r w:rsidRPr="002E39A7">
        <w:t>прогноза социально-экономического</w:t>
      </w:r>
    </w:p>
    <w:p w:rsidR="005174C6" w:rsidRPr="002E39A7" w:rsidRDefault="005174C6" w:rsidP="002E39A7">
      <w:pPr>
        <w:ind w:firstLine="709"/>
      </w:pPr>
      <w:r w:rsidRPr="002E39A7">
        <w:t>развития Беломорского муниципального округа</w:t>
      </w:r>
    </w:p>
    <w:p w:rsidR="005174C6" w:rsidRPr="002E39A7" w:rsidRDefault="005174C6" w:rsidP="002E39A7">
      <w:pPr>
        <w:ind w:firstLine="709"/>
      </w:pPr>
      <w:r w:rsidRPr="002E39A7">
        <w:t>на очередной финансовый год и плановый период</w:t>
      </w:r>
    </w:p>
    <w:p w:rsidR="005174C6" w:rsidRPr="002E39A7" w:rsidRDefault="005174C6" w:rsidP="002E39A7">
      <w:pPr>
        <w:ind w:firstLine="709"/>
      </w:pPr>
    </w:p>
    <w:p w:rsidR="005174C6" w:rsidRPr="00697058" w:rsidRDefault="005174C6" w:rsidP="00697058">
      <w:pPr>
        <w:ind w:firstLine="709"/>
        <w:jc w:val="center"/>
        <w:rPr>
          <w:b/>
        </w:rPr>
      </w:pPr>
      <w:r w:rsidRPr="00697058">
        <w:rPr>
          <w:b/>
        </w:rPr>
        <w:t>Основные показатели прогноза социально-экономического развития</w:t>
      </w:r>
    </w:p>
    <w:p w:rsidR="005174C6" w:rsidRPr="00697058" w:rsidRDefault="005174C6" w:rsidP="00697058">
      <w:pPr>
        <w:ind w:firstLine="709"/>
        <w:jc w:val="center"/>
        <w:rPr>
          <w:b/>
        </w:rPr>
      </w:pPr>
      <w:r w:rsidRPr="00697058">
        <w:rPr>
          <w:b/>
        </w:rPr>
        <w:t>Беломорского муниципального округа на очередной финансовый год</w:t>
      </w:r>
    </w:p>
    <w:p w:rsidR="005174C6" w:rsidRPr="00697058" w:rsidRDefault="005174C6" w:rsidP="00697058">
      <w:pPr>
        <w:ind w:firstLine="709"/>
        <w:jc w:val="center"/>
        <w:rPr>
          <w:b/>
        </w:rPr>
      </w:pPr>
      <w:r w:rsidRPr="00697058">
        <w:rPr>
          <w:b/>
        </w:rPr>
        <w:t>и плановый период</w:t>
      </w:r>
      <w:r w:rsidR="00697058">
        <w:rPr>
          <w:b/>
        </w:rPr>
        <w:t xml:space="preserve"> </w:t>
      </w:r>
      <w:r w:rsidRPr="00697058">
        <w:rPr>
          <w:b/>
        </w:rPr>
        <w:t>(Базовый вариант)</w:t>
      </w:r>
    </w:p>
    <w:p w:rsidR="005174C6" w:rsidRPr="002E39A7" w:rsidRDefault="005174C6" w:rsidP="002E39A7">
      <w:pPr>
        <w:ind w:firstLine="709"/>
        <w:jc w:val="both"/>
      </w:pPr>
      <w:bookmarkStart w:id="1" w:name="Par89"/>
      <w:bookmarkEnd w:id="1"/>
    </w:p>
    <w:tbl>
      <w:tblPr>
        <w:tblW w:w="10630" w:type="dxa"/>
        <w:tblInd w:w="-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018"/>
        <w:gridCol w:w="1223"/>
        <w:gridCol w:w="1407"/>
        <w:gridCol w:w="1417"/>
        <w:gridCol w:w="1222"/>
        <w:gridCol w:w="1224"/>
      </w:tblGrid>
      <w:tr w:rsidR="005174C6" w:rsidRPr="00864DD3" w:rsidTr="005174C6">
        <w:trPr>
          <w:trHeight w:hRule="exact" w:val="342"/>
          <w:tblHeader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Наименование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 xml:space="preserve">Ед. </w:t>
            </w:r>
            <w:proofErr w:type="spellStart"/>
            <w:r w:rsidRPr="002E39A7">
              <w:t>изм</w:t>
            </w:r>
            <w:proofErr w:type="spellEnd"/>
            <w:r w:rsidRPr="002E39A7">
              <w:t>.</w:t>
            </w:r>
          </w:p>
        </w:tc>
        <w:tc>
          <w:tcPr>
            <w:tcW w:w="12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отчетный финансовый год (факт)</w:t>
            </w:r>
          </w:p>
          <w:p w:rsidR="005174C6" w:rsidRPr="002E39A7" w:rsidRDefault="005174C6" w:rsidP="00697058">
            <w:pPr>
              <w:ind w:firstLine="5"/>
              <w:jc w:val="center"/>
            </w:pPr>
            <w:r w:rsidRPr="002E39A7">
              <w:t>2023</w:t>
            </w:r>
          </w:p>
        </w:tc>
        <w:tc>
          <w:tcPr>
            <w:tcW w:w="1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текущий финансовый год (оценка)</w:t>
            </w:r>
          </w:p>
          <w:p w:rsidR="005174C6" w:rsidRPr="002E39A7" w:rsidRDefault="005174C6" w:rsidP="00697058">
            <w:pPr>
              <w:ind w:firstLine="5"/>
              <w:jc w:val="center"/>
            </w:pPr>
            <w:r w:rsidRPr="002E39A7">
              <w:t>2024</w:t>
            </w:r>
          </w:p>
        </w:tc>
        <w:tc>
          <w:tcPr>
            <w:tcW w:w="3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прогноз</w:t>
            </w:r>
          </w:p>
        </w:tc>
      </w:tr>
      <w:tr w:rsidR="005174C6" w:rsidRPr="00864DD3" w:rsidTr="00697058">
        <w:trPr>
          <w:trHeight w:hRule="exact" w:val="607"/>
          <w:tblHeader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2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очередной финансовый год</w:t>
            </w:r>
          </w:p>
          <w:p w:rsidR="005174C6" w:rsidRPr="002E39A7" w:rsidRDefault="005174C6" w:rsidP="00697058">
            <w:pPr>
              <w:ind w:firstLine="5"/>
              <w:jc w:val="center"/>
            </w:pPr>
            <w:r w:rsidRPr="002E39A7">
              <w:t>2025</w:t>
            </w:r>
          </w:p>
        </w:tc>
        <w:tc>
          <w:tcPr>
            <w:tcW w:w="2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плановый период</w:t>
            </w:r>
          </w:p>
        </w:tc>
      </w:tr>
      <w:tr w:rsidR="005174C6" w:rsidRPr="00864DD3" w:rsidTr="005174C6">
        <w:trPr>
          <w:trHeight w:hRule="exact" w:val="885"/>
          <w:tblHeader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2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первый год</w:t>
            </w:r>
          </w:p>
          <w:p w:rsidR="005174C6" w:rsidRPr="002E39A7" w:rsidRDefault="005174C6" w:rsidP="00697058">
            <w:pPr>
              <w:ind w:firstLine="5"/>
              <w:jc w:val="center"/>
            </w:pPr>
            <w:r w:rsidRPr="002E39A7">
              <w:t>2026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второй год</w:t>
            </w:r>
          </w:p>
          <w:p w:rsidR="005174C6" w:rsidRPr="002E39A7" w:rsidRDefault="005174C6" w:rsidP="00697058">
            <w:pPr>
              <w:ind w:firstLine="5"/>
              <w:jc w:val="center"/>
            </w:pPr>
            <w:r w:rsidRPr="002E39A7">
              <w:t>2027</w:t>
            </w:r>
          </w:p>
        </w:tc>
      </w:tr>
      <w:tr w:rsidR="005174C6" w:rsidRPr="00864DD3" w:rsidTr="005174C6">
        <w:trPr>
          <w:trHeight w:val="11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1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5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6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7</w:t>
            </w:r>
          </w:p>
        </w:tc>
      </w:tr>
      <w:tr w:rsidR="005174C6" w:rsidRPr="00864DD3" w:rsidTr="005174C6">
        <w:trPr>
          <w:trHeight w:val="118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2E39A7">
            <w:pPr>
              <w:ind w:firstLine="709"/>
              <w:jc w:val="both"/>
            </w:pPr>
            <w:r w:rsidRPr="002E39A7">
              <w:t>Демография</w:t>
            </w:r>
          </w:p>
        </w:tc>
      </w:tr>
      <w:tr w:rsidR="005174C6" w:rsidRPr="00864DD3" w:rsidTr="005174C6">
        <w:trPr>
          <w:trHeight w:val="59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Численность постоянного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тыс. 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12305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12089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11878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11670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2E39A7" w:rsidRDefault="005174C6" w:rsidP="00697058">
            <w:pPr>
              <w:ind w:firstLine="5"/>
              <w:jc w:val="center"/>
            </w:pPr>
            <w:r w:rsidRPr="002E39A7">
              <w:t>11466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Рождаемость на 1000 человек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Смертность на 1000 человек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23,5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22,1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697058">
            <w:pPr>
              <w:ind w:firstLine="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21,3</w:t>
            </w:r>
          </w:p>
        </w:tc>
      </w:tr>
      <w:tr w:rsidR="005174C6" w:rsidRPr="00864DD3" w:rsidTr="005174C6"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numPr>
                <w:ilvl w:val="0"/>
                <w:numId w:val="13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Потребительский рынок</w:t>
            </w:r>
          </w:p>
        </w:tc>
      </w:tr>
      <w:tr w:rsidR="005174C6" w:rsidRPr="00864DD3" w:rsidTr="005174C6">
        <w:trPr>
          <w:trHeight w:val="84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Индекс потребительских цен (по Республике Карелия):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в % к предыдущему году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105,2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</w:t>
            </w:r>
          </w:p>
        </w:tc>
      </w:tr>
      <w:tr w:rsidR="005174C6" w:rsidRPr="00864DD3" w:rsidTr="005174C6">
        <w:trPr>
          <w:trHeight w:val="22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- товары</w:t>
            </w:r>
          </w:p>
        </w:tc>
        <w:tc>
          <w:tcPr>
            <w:tcW w:w="101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103,88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103,9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103,9</w:t>
            </w:r>
          </w:p>
        </w:tc>
      </w:tr>
      <w:tr w:rsidR="005174C6" w:rsidRPr="00864DD3" w:rsidTr="005174C6">
        <w:trPr>
          <w:trHeight w:val="14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- платные услуги</w:t>
            </w:r>
          </w:p>
        </w:tc>
        <w:tc>
          <w:tcPr>
            <w:tcW w:w="1018" w:type="dxa"/>
            <w:vMerge/>
            <w:tcBorders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108,0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104,8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104,3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-Инфляция (ИПЦ) за период, прирост цен в %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 xml:space="preserve">декабрь к декабрю 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7,7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Оборот розничной торговли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2792,3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3155,2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3438,2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3680,3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3974,7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Объем платных услуг населению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416,9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447,2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476,4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476,4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474,6</w:t>
            </w:r>
          </w:p>
        </w:tc>
      </w:tr>
      <w:tr w:rsidR="005174C6" w:rsidRPr="00864DD3" w:rsidTr="005174C6"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numPr>
                <w:ilvl w:val="0"/>
                <w:numId w:val="13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Промышленное производство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 xml:space="preserve">Объем отгруженных товаров собственного производства, </w:t>
            </w:r>
            <w:r w:rsidRPr="00864DD3">
              <w:rPr>
                <w:rFonts w:eastAsiaTheme="minorHAnsi"/>
                <w:lang w:eastAsia="en-US"/>
              </w:rPr>
              <w:lastRenderedPageBreak/>
              <w:t>выполненных работ и услуг собственными силами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lastRenderedPageBreak/>
              <w:t>млн. 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5067,3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5253,4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5464,2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5608,8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5685,5</w:t>
            </w:r>
          </w:p>
        </w:tc>
      </w:tr>
      <w:tr w:rsidR="005174C6" w:rsidRPr="00864DD3" w:rsidTr="005174C6">
        <w:trPr>
          <w:trHeight w:val="562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lastRenderedPageBreak/>
              <w:t>Улов рыбы и добыча биоресурсов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тыс. тонн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</w:tr>
      <w:tr w:rsidR="005174C6" w:rsidRPr="00864DD3" w:rsidTr="005174C6">
        <w:trPr>
          <w:trHeight w:val="562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358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361</w:t>
            </w:r>
          </w:p>
        </w:tc>
      </w:tr>
      <w:tr w:rsidR="005174C6" w:rsidRPr="00864DD3" w:rsidTr="005174C6">
        <w:trPr>
          <w:trHeight w:val="562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numPr>
                <w:ilvl w:val="0"/>
                <w:numId w:val="13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Финансы предприятий</w:t>
            </w:r>
          </w:p>
        </w:tc>
      </w:tr>
      <w:tr w:rsidR="005174C6" w:rsidRPr="00864DD3" w:rsidTr="004428BA">
        <w:trPr>
          <w:trHeight w:val="133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 xml:space="preserve">Объем инвестиций в основной капитал (за исключением бюджетных средств) в расчете на </w:t>
            </w:r>
            <w:r>
              <w:rPr>
                <w:rFonts w:eastAsiaTheme="minorHAnsi"/>
                <w:lang w:eastAsia="en-US"/>
              </w:rPr>
              <w:t xml:space="preserve">                     </w:t>
            </w:r>
            <w:r w:rsidRPr="00864DD3">
              <w:rPr>
                <w:rFonts w:eastAsiaTheme="minorHAnsi"/>
                <w:lang w:eastAsia="en-US"/>
              </w:rPr>
              <w:t>1 жителя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62 119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201 717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71 871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81 623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91 276</w:t>
            </w:r>
          </w:p>
        </w:tc>
      </w:tr>
      <w:tr w:rsidR="005174C6" w:rsidRPr="00864DD3" w:rsidTr="005174C6">
        <w:trPr>
          <w:trHeight w:val="50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Прибыль прибыльных организаций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2277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2322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2368</w:t>
            </w:r>
          </w:p>
        </w:tc>
      </w:tr>
      <w:tr w:rsidR="005174C6" w:rsidRPr="00864DD3" w:rsidTr="005174C6">
        <w:trPr>
          <w:trHeight w:val="164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Налогооблагаемая прибыль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</w:t>
            </w:r>
          </w:p>
        </w:tc>
      </w:tr>
      <w:tr w:rsidR="005174C6" w:rsidRPr="00864DD3" w:rsidTr="005174C6">
        <w:trPr>
          <w:trHeight w:val="296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numPr>
                <w:ilvl w:val="0"/>
                <w:numId w:val="13"/>
              </w:num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Труд и заработная плата</w:t>
            </w:r>
          </w:p>
        </w:tc>
      </w:tr>
      <w:tr w:rsidR="005174C6" w:rsidRPr="00864DD3" w:rsidTr="005174C6">
        <w:trPr>
          <w:trHeight w:val="46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тыс.чел.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5,2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5,2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5,2</w:t>
            </w:r>
          </w:p>
        </w:tc>
      </w:tr>
      <w:tr w:rsidR="005174C6" w:rsidRPr="00864DD3" w:rsidTr="005174C6">
        <w:trPr>
          <w:trHeight w:val="84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Фонд заработной платы с учетом необлагаемой его части (для расчета налога на доходы физических лиц)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5710,3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6441,2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6956,5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7471,3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7956,9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Численность официально зарегистрированных безработных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490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481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</w:t>
            </w:r>
          </w:p>
        </w:tc>
      </w:tr>
      <w:tr w:rsidR="005174C6" w:rsidRPr="00864DD3" w:rsidTr="005174C6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1,9</w:t>
            </w:r>
          </w:p>
        </w:tc>
      </w:tr>
    </w:tbl>
    <w:p w:rsidR="005174C6" w:rsidRPr="00864DD3" w:rsidRDefault="005174C6" w:rsidP="005174C6">
      <w:pPr>
        <w:rPr>
          <w:rFonts w:eastAsiaTheme="minorHAnsi"/>
          <w:lang w:eastAsia="en-US"/>
        </w:rPr>
        <w:sectPr w:rsidR="005174C6" w:rsidRPr="00864DD3" w:rsidSect="005174C6">
          <w:type w:val="continuous"/>
          <w:pgSz w:w="11906" w:h="16838"/>
          <w:pgMar w:top="567" w:right="850" w:bottom="1134" w:left="1701" w:header="720" w:footer="720" w:gutter="0"/>
          <w:cols w:space="720"/>
          <w:formProt w:val="0"/>
          <w:noEndnote/>
          <w:docGrid w:linePitch="326"/>
        </w:sectPr>
      </w:pPr>
    </w:p>
    <w:p w:rsidR="005174C6" w:rsidRPr="00864DD3" w:rsidRDefault="005174C6" w:rsidP="005174C6">
      <w:pPr>
        <w:rPr>
          <w:rFonts w:eastAsiaTheme="minorHAnsi"/>
          <w:sz w:val="20"/>
          <w:szCs w:val="20"/>
          <w:lang w:eastAsia="en-US"/>
        </w:rPr>
      </w:pPr>
      <w:r w:rsidRPr="00864DD3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2</w:t>
      </w:r>
      <w:r w:rsidRPr="00864DD3">
        <w:rPr>
          <w:rFonts w:eastAsiaTheme="minorHAnsi"/>
          <w:sz w:val="20"/>
          <w:szCs w:val="20"/>
          <w:lang w:eastAsia="en-US"/>
        </w:rPr>
        <w:t xml:space="preserve"> к Порядку разработки</w:t>
      </w:r>
    </w:p>
    <w:p w:rsidR="005174C6" w:rsidRPr="00864DD3" w:rsidRDefault="005174C6" w:rsidP="005174C6">
      <w:pPr>
        <w:rPr>
          <w:rFonts w:eastAsiaTheme="minorHAnsi"/>
          <w:sz w:val="20"/>
          <w:szCs w:val="20"/>
          <w:lang w:eastAsia="en-US"/>
        </w:rPr>
      </w:pPr>
      <w:r w:rsidRPr="00864DD3">
        <w:rPr>
          <w:rFonts w:eastAsiaTheme="minorHAnsi"/>
          <w:sz w:val="20"/>
          <w:szCs w:val="20"/>
          <w:lang w:eastAsia="en-US"/>
        </w:rPr>
        <w:t>прогноза социально-экономического</w:t>
      </w:r>
    </w:p>
    <w:p w:rsidR="005174C6" w:rsidRPr="00864DD3" w:rsidRDefault="005174C6" w:rsidP="005174C6">
      <w:pPr>
        <w:rPr>
          <w:rFonts w:eastAsiaTheme="minorHAnsi"/>
          <w:sz w:val="20"/>
          <w:szCs w:val="20"/>
          <w:lang w:eastAsia="en-US"/>
        </w:rPr>
      </w:pPr>
      <w:r w:rsidRPr="00864DD3">
        <w:rPr>
          <w:rFonts w:eastAsiaTheme="minorHAnsi"/>
          <w:sz w:val="20"/>
          <w:szCs w:val="20"/>
          <w:lang w:eastAsia="en-US"/>
        </w:rPr>
        <w:t>развития Беломорского муниципального округа</w:t>
      </w:r>
    </w:p>
    <w:p w:rsidR="005174C6" w:rsidRPr="00864DD3" w:rsidRDefault="005174C6" w:rsidP="005174C6">
      <w:pPr>
        <w:rPr>
          <w:rFonts w:eastAsiaTheme="minorHAnsi"/>
          <w:sz w:val="20"/>
          <w:szCs w:val="20"/>
          <w:lang w:eastAsia="en-US"/>
        </w:rPr>
      </w:pPr>
      <w:r w:rsidRPr="00864DD3">
        <w:rPr>
          <w:rFonts w:eastAsiaTheme="minorHAnsi"/>
          <w:sz w:val="20"/>
          <w:szCs w:val="20"/>
          <w:lang w:eastAsia="en-US"/>
        </w:rPr>
        <w:t>на очередной финансовый год и плановый период</w:t>
      </w:r>
    </w:p>
    <w:p w:rsidR="005174C6" w:rsidRPr="00864DD3" w:rsidRDefault="005174C6" w:rsidP="005174C6">
      <w:pPr>
        <w:rPr>
          <w:rFonts w:eastAsiaTheme="minorHAnsi"/>
          <w:sz w:val="16"/>
          <w:szCs w:val="16"/>
          <w:lang w:eastAsia="en-US"/>
        </w:rPr>
      </w:pPr>
    </w:p>
    <w:p w:rsidR="005174C6" w:rsidRDefault="005174C6" w:rsidP="005174C6">
      <w:pPr>
        <w:jc w:val="center"/>
        <w:rPr>
          <w:rFonts w:eastAsiaTheme="minorHAnsi"/>
          <w:b/>
          <w:lang w:eastAsia="en-US"/>
        </w:rPr>
      </w:pPr>
      <w:r w:rsidRPr="00864DD3">
        <w:rPr>
          <w:rFonts w:eastAsiaTheme="minorHAnsi"/>
          <w:b/>
          <w:lang w:eastAsia="en-US"/>
        </w:rPr>
        <w:t xml:space="preserve">Предварительные итоги социально-экономического развития Беломорского муниципального округа </w:t>
      </w:r>
      <w:r>
        <w:rPr>
          <w:rFonts w:eastAsiaTheme="minorHAnsi"/>
          <w:b/>
          <w:lang w:eastAsia="en-US"/>
        </w:rPr>
        <w:t xml:space="preserve">  </w:t>
      </w:r>
      <w:r w:rsidRPr="00864DD3">
        <w:rPr>
          <w:rFonts w:eastAsiaTheme="minorHAnsi"/>
          <w:b/>
          <w:lang w:eastAsia="en-US"/>
        </w:rPr>
        <w:t>за текущий финансовый год и прогноз</w:t>
      </w:r>
    </w:p>
    <w:p w:rsidR="009664C0" w:rsidRPr="00864DD3" w:rsidRDefault="009664C0" w:rsidP="005174C6">
      <w:pPr>
        <w:jc w:val="center"/>
        <w:rPr>
          <w:rFonts w:eastAsiaTheme="minorHAnsi"/>
          <w:b/>
          <w:lang w:eastAsia="en-US"/>
        </w:rPr>
      </w:pPr>
    </w:p>
    <w:tbl>
      <w:tblPr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559"/>
        <w:gridCol w:w="1701"/>
        <w:gridCol w:w="1134"/>
        <w:gridCol w:w="1082"/>
        <w:gridCol w:w="1134"/>
      </w:tblGrid>
      <w:tr w:rsidR="005174C6" w:rsidRPr="00864DD3" w:rsidTr="00625645">
        <w:tc>
          <w:tcPr>
            <w:tcW w:w="7621" w:type="dxa"/>
            <w:vMerge w:val="restart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изм</w:t>
            </w:r>
            <w:proofErr w:type="spellEnd"/>
            <w:r w:rsidRPr="00864DD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</w:tcPr>
          <w:p w:rsidR="005174C6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отчетный финансовый год (факт)</w:t>
            </w:r>
          </w:p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  <w:vMerge w:val="restart"/>
          </w:tcPr>
          <w:p w:rsidR="005174C6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текущий финансовый год (оценка)</w:t>
            </w:r>
          </w:p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350" w:type="dxa"/>
            <w:gridSpan w:val="3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5174C6" w:rsidRPr="00864DD3" w:rsidTr="00625645">
        <w:trPr>
          <w:trHeight w:val="629"/>
        </w:trPr>
        <w:tc>
          <w:tcPr>
            <w:tcW w:w="7621" w:type="dxa"/>
            <w:vMerge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Прогноз</w:t>
            </w:r>
          </w:p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82" w:type="dxa"/>
          </w:tcPr>
          <w:p w:rsidR="005174C6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Прогноз</w:t>
            </w:r>
          </w:p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</w:tcPr>
          <w:p w:rsidR="005174C6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Прогноз</w:t>
            </w:r>
          </w:p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Численность населения (среднегодовая)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12305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12089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11878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11670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11466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6,1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Общий коэффициент смертности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21,3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Производство важнейших видов продукции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DD3">
              <w:rPr>
                <w:rFonts w:eastAsiaTheme="minorHAnsi"/>
                <w:sz w:val="20"/>
                <w:szCs w:val="20"/>
                <w:lang w:eastAsia="en-US"/>
              </w:rPr>
              <w:t>тыс. куб. м.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195,4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 w:rsidRPr="00DD3E8E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Улов рыбы и добыча морепродуктов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1559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1701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82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864DD3">
              <w:rPr>
                <w:rFonts w:eastAsiaTheme="minorHAnsi"/>
                <w:b/>
                <w:sz w:val="21"/>
                <w:szCs w:val="21"/>
                <w:lang w:eastAsia="en-US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кв. м.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Доходы от использования имущества, находящегося в муниципальной собственности - всего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в т.ч. доходы от сдачи в аренду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625645">
            <w:pPr>
              <w:jc w:val="both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 xml:space="preserve">         части прибыли муниципальных предприятий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Доходы от продажи муниципального имущества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Прибыль прибыльных организаций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2277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2368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Налогооблагаемая прибыль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Среднегодовая остаточная стоимость облагаемого имущества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1319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1319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Оборот розничной торговли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2792,3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3155,2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3438,2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3680,3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3974,7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Темпы роста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108,9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107,9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416,9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447,2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476,4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476,4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476,4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Темпы роста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107,2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1559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1701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1134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082" w:type="dxa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134" w:type="dxa"/>
            <w:shd w:val="clear" w:color="auto" w:fill="FFFFFF" w:themeFill="background1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5,2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864DD3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Фонд заработной платы с учетом необлагаемой его части </w:t>
            </w:r>
            <w:r w:rsidRPr="00864DD3">
              <w:rPr>
                <w:rFonts w:eastAsiaTheme="minorHAnsi"/>
                <w:sz w:val="21"/>
                <w:szCs w:val="21"/>
                <w:lang w:eastAsia="en-US"/>
              </w:rPr>
              <w:t xml:space="preserve"> (для расчета НДФЛ)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7142,8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7671,3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8169,9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b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Численность безработных, зарегистрированных в службе занятости (на начало года)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470</w:t>
            </w:r>
          </w:p>
        </w:tc>
      </w:tr>
      <w:tr w:rsidR="005174C6" w:rsidRPr="00864DD3" w:rsidTr="00625645">
        <w:tc>
          <w:tcPr>
            <w:tcW w:w="7621" w:type="dxa"/>
          </w:tcPr>
          <w:p w:rsidR="005174C6" w:rsidRPr="00864DD3" w:rsidRDefault="005174C6" w:rsidP="009664C0">
            <w:pPr>
              <w:jc w:val="left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b/>
                <w:sz w:val="22"/>
                <w:szCs w:val="22"/>
                <w:lang w:eastAsia="en-US"/>
              </w:rPr>
              <w:t>Уровень зарегистрированной безработицы (к численности ЭАН)</w:t>
            </w:r>
          </w:p>
        </w:tc>
        <w:tc>
          <w:tcPr>
            <w:tcW w:w="1276" w:type="dxa"/>
          </w:tcPr>
          <w:p w:rsidR="005174C6" w:rsidRPr="00864DD3" w:rsidRDefault="005174C6" w:rsidP="005174C6">
            <w:pPr>
              <w:jc w:val="center"/>
              <w:rPr>
                <w:rFonts w:eastAsiaTheme="minorHAnsi"/>
                <w:lang w:eastAsia="en-US"/>
              </w:rPr>
            </w:pPr>
            <w:r w:rsidRPr="00864DD3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701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082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34" w:type="dxa"/>
            <w:vAlign w:val="center"/>
          </w:tcPr>
          <w:p w:rsidR="005174C6" w:rsidRPr="00864DD3" w:rsidRDefault="005174C6" w:rsidP="00517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1,9</w:t>
            </w:r>
          </w:p>
        </w:tc>
      </w:tr>
    </w:tbl>
    <w:p w:rsidR="005174C6" w:rsidRPr="00864DD3" w:rsidRDefault="005174C6" w:rsidP="005174C6">
      <w:pPr>
        <w:rPr>
          <w:rFonts w:eastAsiaTheme="minorHAnsi"/>
          <w:lang w:eastAsia="en-US"/>
        </w:rPr>
      </w:pPr>
    </w:p>
    <w:p w:rsidR="005174C6" w:rsidRDefault="005174C6" w:rsidP="005174C6"/>
    <w:p w:rsidR="005174C6" w:rsidRPr="00EF00DD" w:rsidRDefault="005174C6" w:rsidP="005174C6">
      <w:pPr>
        <w:jc w:val="both"/>
      </w:pPr>
    </w:p>
    <w:p w:rsidR="004428BA" w:rsidRDefault="004428BA">
      <w:pPr>
        <w:tabs>
          <w:tab w:val="left" w:pos="709"/>
        </w:tabs>
        <w:jc w:val="center"/>
        <w:sectPr w:rsidR="004428BA" w:rsidSect="004428BA">
          <w:pgSz w:w="16837" w:h="11905" w:orient="landscape"/>
          <w:pgMar w:top="1247" w:right="284" w:bottom="567" w:left="851" w:header="0" w:footer="6" w:gutter="0"/>
          <w:cols w:space="720"/>
          <w:noEndnote/>
          <w:docGrid w:linePitch="360"/>
        </w:sectPr>
      </w:pPr>
    </w:p>
    <w:p w:rsidR="005174C6" w:rsidRDefault="005174C6">
      <w:pPr>
        <w:tabs>
          <w:tab w:val="left" w:pos="709"/>
        </w:tabs>
        <w:jc w:val="center"/>
      </w:pPr>
    </w:p>
    <w:sectPr w:rsidR="005174C6" w:rsidSect="005174C6">
      <w:pgSz w:w="16837" w:h="11905" w:orient="landscape"/>
      <w:pgMar w:top="1701" w:right="28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423604F"/>
    <w:multiLevelType w:val="hybridMultilevel"/>
    <w:tmpl w:val="114E4A84"/>
    <w:lvl w:ilvl="0" w:tplc="815AD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58670A8"/>
    <w:multiLevelType w:val="hybridMultilevel"/>
    <w:tmpl w:val="7652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A0260"/>
    <w:multiLevelType w:val="hybridMultilevel"/>
    <w:tmpl w:val="3CFAA1FA"/>
    <w:lvl w:ilvl="0" w:tplc="766C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3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EA5277"/>
    <w:multiLevelType w:val="hybridMultilevel"/>
    <w:tmpl w:val="84D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B3753"/>
    <w:multiLevelType w:val="hybridMultilevel"/>
    <w:tmpl w:val="2402AD90"/>
    <w:lvl w:ilvl="0" w:tplc="9DA67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1F21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7ABE"/>
    <w:rsid w:val="00085A79"/>
    <w:rsid w:val="0008641E"/>
    <w:rsid w:val="0009085C"/>
    <w:rsid w:val="00093840"/>
    <w:rsid w:val="00093DBE"/>
    <w:rsid w:val="00093ED3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15A4"/>
    <w:rsid w:val="000F396A"/>
    <w:rsid w:val="000F4495"/>
    <w:rsid w:val="001011D5"/>
    <w:rsid w:val="00101BD0"/>
    <w:rsid w:val="0010201E"/>
    <w:rsid w:val="00114E96"/>
    <w:rsid w:val="00116763"/>
    <w:rsid w:val="00121285"/>
    <w:rsid w:val="00125405"/>
    <w:rsid w:val="001350F5"/>
    <w:rsid w:val="00136DA8"/>
    <w:rsid w:val="00144A8F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5236"/>
    <w:rsid w:val="001C63B8"/>
    <w:rsid w:val="001D503D"/>
    <w:rsid w:val="001E593E"/>
    <w:rsid w:val="001E6A6A"/>
    <w:rsid w:val="00201B9F"/>
    <w:rsid w:val="00211E56"/>
    <w:rsid w:val="002121A3"/>
    <w:rsid w:val="00213522"/>
    <w:rsid w:val="002174ED"/>
    <w:rsid w:val="002206F4"/>
    <w:rsid w:val="0022142E"/>
    <w:rsid w:val="0022210E"/>
    <w:rsid w:val="00225CC0"/>
    <w:rsid w:val="002272E7"/>
    <w:rsid w:val="00243CAF"/>
    <w:rsid w:val="00244D0D"/>
    <w:rsid w:val="00245463"/>
    <w:rsid w:val="0024597F"/>
    <w:rsid w:val="002629CB"/>
    <w:rsid w:val="0026346B"/>
    <w:rsid w:val="00263EB5"/>
    <w:rsid w:val="00265BE4"/>
    <w:rsid w:val="0026627D"/>
    <w:rsid w:val="002671EC"/>
    <w:rsid w:val="002671F9"/>
    <w:rsid w:val="00267B0F"/>
    <w:rsid w:val="00271790"/>
    <w:rsid w:val="00275335"/>
    <w:rsid w:val="00280C38"/>
    <w:rsid w:val="00287342"/>
    <w:rsid w:val="00295F53"/>
    <w:rsid w:val="002A2CFD"/>
    <w:rsid w:val="002A3417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1D3F"/>
    <w:rsid w:val="002E39A7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6D2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2F4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2934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63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41205"/>
    <w:rsid w:val="004428BA"/>
    <w:rsid w:val="00443C51"/>
    <w:rsid w:val="0044410E"/>
    <w:rsid w:val="00445097"/>
    <w:rsid w:val="004459C5"/>
    <w:rsid w:val="00446DBB"/>
    <w:rsid w:val="00453890"/>
    <w:rsid w:val="0046301F"/>
    <w:rsid w:val="00464730"/>
    <w:rsid w:val="00473F18"/>
    <w:rsid w:val="00481168"/>
    <w:rsid w:val="00483C43"/>
    <w:rsid w:val="004909EB"/>
    <w:rsid w:val="00492D8F"/>
    <w:rsid w:val="0049395B"/>
    <w:rsid w:val="004964DA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4F6370"/>
    <w:rsid w:val="0050073B"/>
    <w:rsid w:val="0050299D"/>
    <w:rsid w:val="005029B4"/>
    <w:rsid w:val="005061C2"/>
    <w:rsid w:val="00510B70"/>
    <w:rsid w:val="00514CC4"/>
    <w:rsid w:val="00514D3E"/>
    <w:rsid w:val="005174C6"/>
    <w:rsid w:val="00525349"/>
    <w:rsid w:val="005312C5"/>
    <w:rsid w:val="00531B6E"/>
    <w:rsid w:val="00536561"/>
    <w:rsid w:val="00541A86"/>
    <w:rsid w:val="00545540"/>
    <w:rsid w:val="00545F68"/>
    <w:rsid w:val="00550136"/>
    <w:rsid w:val="00553E10"/>
    <w:rsid w:val="005602EF"/>
    <w:rsid w:val="00561E9F"/>
    <w:rsid w:val="005631B0"/>
    <w:rsid w:val="005644DE"/>
    <w:rsid w:val="00565C82"/>
    <w:rsid w:val="005703E5"/>
    <w:rsid w:val="005740C8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4DA2"/>
    <w:rsid w:val="005B5440"/>
    <w:rsid w:val="005B72BB"/>
    <w:rsid w:val="005B76C3"/>
    <w:rsid w:val="005C2804"/>
    <w:rsid w:val="005C2D36"/>
    <w:rsid w:val="005C79B9"/>
    <w:rsid w:val="005D1581"/>
    <w:rsid w:val="005D17E7"/>
    <w:rsid w:val="005E1DB9"/>
    <w:rsid w:val="005F4231"/>
    <w:rsid w:val="00600242"/>
    <w:rsid w:val="006066B1"/>
    <w:rsid w:val="0061354C"/>
    <w:rsid w:val="006163A8"/>
    <w:rsid w:val="00616723"/>
    <w:rsid w:val="00616856"/>
    <w:rsid w:val="00616E01"/>
    <w:rsid w:val="0062175C"/>
    <w:rsid w:val="00625645"/>
    <w:rsid w:val="006323C3"/>
    <w:rsid w:val="00636A28"/>
    <w:rsid w:val="00637494"/>
    <w:rsid w:val="00641340"/>
    <w:rsid w:val="006435B9"/>
    <w:rsid w:val="006437C1"/>
    <w:rsid w:val="0064435E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78C"/>
    <w:rsid w:val="0069490B"/>
    <w:rsid w:val="00695201"/>
    <w:rsid w:val="00696C76"/>
    <w:rsid w:val="00697058"/>
    <w:rsid w:val="00697AC1"/>
    <w:rsid w:val="006B5FAF"/>
    <w:rsid w:val="006B5FC8"/>
    <w:rsid w:val="006C3942"/>
    <w:rsid w:val="006D3880"/>
    <w:rsid w:val="006F2C91"/>
    <w:rsid w:val="006F4F93"/>
    <w:rsid w:val="006F7AC1"/>
    <w:rsid w:val="00702869"/>
    <w:rsid w:val="007054D4"/>
    <w:rsid w:val="0070573A"/>
    <w:rsid w:val="0070589A"/>
    <w:rsid w:val="00705F96"/>
    <w:rsid w:val="0071616E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F77"/>
    <w:rsid w:val="007835D0"/>
    <w:rsid w:val="00786BFF"/>
    <w:rsid w:val="007871F2"/>
    <w:rsid w:val="007A3D95"/>
    <w:rsid w:val="007B3D23"/>
    <w:rsid w:val="007B7C85"/>
    <w:rsid w:val="007C2A44"/>
    <w:rsid w:val="007C3C9C"/>
    <w:rsid w:val="007C7189"/>
    <w:rsid w:val="007C7D4F"/>
    <w:rsid w:val="007D6C63"/>
    <w:rsid w:val="007F1630"/>
    <w:rsid w:val="007F7845"/>
    <w:rsid w:val="007F7BF7"/>
    <w:rsid w:val="0080039F"/>
    <w:rsid w:val="00800738"/>
    <w:rsid w:val="008017F5"/>
    <w:rsid w:val="008029EF"/>
    <w:rsid w:val="00802E99"/>
    <w:rsid w:val="008036FE"/>
    <w:rsid w:val="00806342"/>
    <w:rsid w:val="00814C28"/>
    <w:rsid w:val="00814C8F"/>
    <w:rsid w:val="00817A5B"/>
    <w:rsid w:val="008203E9"/>
    <w:rsid w:val="008206B1"/>
    <w:rsid w:val="008207D2"/>
    <w:rsid w:val="00821C80"/>
    <w:rsid w:val="008232A6"/>
    <w:rsid w:val="00823A94"/>
    <w:rsid w:val="0082455B"/>
    <w:rsid w:val="00841360"/>
    <w:rsid w:val="00860D7D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0124"/>
    <w:rsid w:val="00912EBA"/>
    <w:rsid w:val="0091417C"/>
    <w:rsid w:val="00916BCB"/>
    <w:rsid w:val="00921005"/>
    <w:rsid w:val="0092294B"/>
    <w:rsid w:val="00922F12"/>
    <w:rsid w:val="00924772"/>
    <w:rsid w:val="00931FC3"/>
    <w:rsid w:val="00934187"/>
    <w:rsid w:val="00945A7A"/>
    <w:rsid w:val="009560ED"/>
    <w:rsid w:val="00962387"/>
    <w:rsid w:val="009664C0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2B37"/>
    <w:rsid w:val="00A3347C"/>
    <w:rsid w:val="00A33BD0"/>
    <w:rsid w:val="00A42BE0"/>
    <w:rsid w:val="00A43051"/>
    <w:rsid w:val="00A478D1"/>
    <w:rsid w:val="00A544BC"/>
    <w:rsid w:val="00A571EE"/>
    <w:rsid w:val="00A578D1"/>
    <w:rsid w:val="00A61B8C"/>
    <w:rsid w:val="00A649E6"/>
    <w:rsid w:val="00A730BB"/>
    <w:rsid w:val="00A73793"/>
    <w:rsid w:val="00A75996"/>
    <w:rsid w:val="00A76CAE"/>
    <w:rsid w:val="00A80777"/>
    <w:rsid w:val="00A810CE"/>
    <w:rsid w:val="00A83DF7"/>
    <w:rsid w:val="00A96A20"/>
    <w:rsid w:val="00A97A96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69C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042B"/>
    <w:rsid w:val="00B715DF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3B8E"/>
    <w:rsid w:val="00BF5874"/>
    <w:rsid w:val="00BF6099"/>
    <w:rsid w:val="00BF6ED1"/>
    <w:rsid w:val="00C00B30"/>
    <w:rsid w:val="00C00E81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3C2A"/>
    <w:rsid w:val="00CB7DB8"/>
    <w:rsid w:val="00CD4EA3"/>
    <w:rsid w:val="00CE4192"/>
    <w:rsid w:val="00CE5DAA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83CCB"/>
    <w:rsid w:val="00D875C1"/>
    <w:rsid w:val="00D92435"/>
    <w:rsid w:val="00D97EB5"/>
    <w:rsid w:val="00DA6859"/>
    <w:rsid w:val="00DB139E"/>
    <w:rsid w:val="00DB7C9D"/>
    <w:rsid w:val="00DD18CC"/>
    <w:rsid w:val="00DD3C36"/>
    <w:rsid w:val="00DE742A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1E66"/>
    <w:rsid w:val="00E34113"/>
    <w:rsid w:val="00E51830"/>
    <w:rsid w:val="00E52435"/>
    <w:rsid w:val="00E5283B"/>
    <w:rsid w:val="00E5636B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E77F1"/>
    <w:rsid w:val="00EF00EA"/>
    <w:rsid w:val="00EF36BC"/>
    <w:rsid w:val="00EF6EFF"/>
    <w:rsid w:val="00F02F46"/>
    <w:rsid w:val="00F117B9"/>
    <w:rsid w:val="00F1373C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96A1B"/>
    <w:rsid w:val="00F96EED"/>
    <w:rsid w:val="00F97EC6"/>
    <w:rsid w:val="00FA7578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uiPriority w:val="99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B7DB8"/>
    <w:pPr>
      <w:ind w:left="720"/>
    </w:pPr>
  </w:style>
  <w:style w:type="paragraph" w:styleId="a4">
    <w:name w:val="Balloon Text"/>
    <w:basedOn w:val="a"/>
    <w:link w:val="a5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b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0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6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a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a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b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c">
    <w:name w:val="Document Map"/>
    <w:basedOn w:val="a"/>
    <w:link w:val="afd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paragraph" w:customStyle="1" w:styleId="1b">
    <w:name w:val="Абзац списка1"/>
    <w:basedOn w:val="a"/>
    <w:rsid w:val="00EE77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77</cp:revision>
  <cp:lastPrinted>2024-10-25T11:15:00Z</cp:lastPrinted>
  <dcterms:created xsi:type="dcterms:W3CDTF">2024-10-07T09:07:00Z</dcterms:created>
  <dcterms:modified xsi:type="dcterms:W3CDTF">2024-10-31T13:09:00Z</dcterms:modified>
</cp:coreProperties>
</file>