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05DE9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21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>
        <w:rPr>
          <w:b/>
        </w:rPr>
        <w:t>440</w:t>
      </w:r>
    </w:p>
    <w:p w:rsidR="00E04C8A" w:rsidRPr="00A258C2" w:rsidRDefault="00BE1464" w:rsidP="006A150F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7B52B7" w:rsidRDefault="007B52B7" w:rsidP="00461BFB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6A150F" w:rsidRPr="006A150F" w:rsidRDefault="006A150F" w:rsidP="008520E1">
      <w:pPr>
        <w:jc w:val="center"/>
        <w:rPr>
          <w:b/>
          <w:iCs/>
        </w:rPr>
      </w:pPr>
      <w:r w:rsidRPr="006A150F">
        <w:rPr>
          <w:b/>
          <w:iCs/>
        </w:rPr>
        <w:t xml:space="preserve">О создании муниципального (опорного) центра  дополнительного образования детей  на территории  Беломорского муниципального округа </w:t>
      </w:r>
    </w:p>
    <w:p w:rsidR="006A150F" w:rsidRPr="006A150F" w:rsidRDefault="006A150F" w:rsidP="008520E1">
      <w:pPr>
        <w:jc w:val="center"/>
        <w:rPr>
          <w:b/>
          <w:iCs/>
        </w:rPr>
      </w:pPr>
    </w:p>
    <w:p w:rsidR="006A150F" w:rsidRPr="002B019F" w:rsidRDefault="006A150F" w:rsidP="006A150F">
      <w:pPr>
        <w:jc w:val="center"/>
        <w:rPr>
          <w:b/>
          <w:iCs/>
        </w:rPr>
      </w:pPr>
    </w:p>
    <w:p w:rsidR="006A150F" w:rsidRPr="008520E1" w:rsidRDefault="006A150F" w:rsidP="008520E1">
      <w:pPr>
        <w:pStyle w:val="ConsPlusTitle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3F80">
        <w:t xml:space="preserve"> </w:t>
      </w:r>
      <w:r w:rsidRPr="00593F80">
        <w:tab/>
      </w:r>
      <w:r w:rsidRPr="008520E1">
        <w:rPr>
          <w:rFonts w:ascii="Times New Roman" w:hAnsi="Times New Roman" w:cs="Times New Roman"/>
          <w:b w:val="0"/>
          <w:sz w:val="24"/>
          <w:szCs w:val="24"/>
        </w:rPr>
        <w:t>Для осуществления организационного, методического и аналитического сопровождения и мониторинга развития системы дополнительного образования детей на территории Беломорского муниципального округа</w:t>
      </w:r>
      <w:r w:rsidRPr="008520E1">
        <w:rPr>
          <w:rFonts w:ascii="Times New Roman" w:hAnsi="Times New Roman" w:cs="Times New Roman"/>
          <w:b w:val="0"/>
          <w:iCs/>
          <w:sz w:val="24"/>
          <w:szCs w:val="24"/>
        </w:rPr>
        <w:t>, администрация Беломорского муниципального округа</w:t>
      </w:r>
      <w:r w:rsidRPr="008520E1">
        <w:rPr>
          <w:rFonts w:ascii="Times New Roman" w:hAnsi="Times New Roman" w:cs="Times New Roman"/>
          <w:b w:val="0"/>
          <w:sz w:val="24"/>
          <w:szCs w:val="24"/>
        </w:rPr>
        <w:t xml:space="preserve"> постановляет: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tab/>
      </w:r>
      <w:r w:rsidR="008520E1">
        <w:t>1.</w:t>
      </w:r>
      <w:r w:rsidR="008520E1">
        <w:tab/>
      </w:r>
      <w:r w:rsidRPr="008520E1">
        <w:t>Создать муниципальный (опорный) центр дополнительного образования детей на территории Беломорского муниципального округа на базе муниципального автономного образовательного учреждения дополнительного образования Беломорского муниципального округа "Беломорский центр дополнительного образования".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tab/>
      </w:r>
      <w:r w:rsidR="008520E1">
        <w:t>2.</w:t>
      </w:r>
      <w:r w:rsidR="008520E1">
        <w:tab/>
      </w:r>
      <w:r w:rsidRPr="008520E1">
        <w:t>Утвердить прилагаемое положение о деятельности муниципального (опорного) центра дополнительного образования детей на территории Беломорского муниципального округа.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tab/>
      </w:r>
      <w:r w:rsidR="008520E1">
        <w:t>3.</w:t>
      </w:r>
      <w:r w:rsidR="008520E1">
        <w:tab/>
      </w:r>
      <w:r w:rsidRPr="008520E1">
        <w:t>Назначить руководителем муниципального (опорного) центра дополнительного образования детей на территории Беломорского муниципального округа</w:t>
      </w:r>
      <w:r w:rsidRPr="008520E1">
        <w:rPr>
          <w:iCs/>
        </w:rPr>
        <w:t xml:space="preserve"> организации Беломорского муниципального округа Кузнецову Елену Юрьевну, директора  </w:t>
      </w:r>
      <w:r w:rsidRPr="008520E1">
        <w:t>муниципального автономного образовательного учреждения дополнительного образования Беломорского муниципального округа "Беломорский центр дополнительного образования".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tab/>
      </w:r>
      <w:r w:rsidR="008520E1">
        <w:t>4.</w:t>
      </w:r>
      <w:r w:rsidR="008520E1">
        <w:tab/>
      </w:r>
      <w:r w:rsidRPr="008520E1">
        <w:t>Директору муниципального автономного образовательного учреждения дополнительного образования Беломорского муниципального округа "Беломорский центр дополнительного образования"(Кузнецова Е.Ю.):</w:t>
      </w:r>
    </w:p>
    <w:p w:rsidR="006A150F" w:rsidRPr="008520E1" w:rsidRDefault="008520E1" w:rsidP="008520E1">
      <w:pPr>
        <w:tabs>
          <w:tab w:val="left" w:pos="709"/>
          <w:tab w:val="left" w:pos="993"/>
        </w:tabs>
        <w:ind w:firstLine="709"/>
        <w:jc w:val="both"/>
      </w:pPr>
      <w:r>
        <w:t>1)</w:t>
      </w:r>
      <w:r>
        <w:tab/>
      </w:r>
      <w:r w:rsidR="006A150F" w:rsidRPr="008520E1">
        <w:t>обеспечить функционирование муниципального (опорного) центра дополнительного образования детей;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tab/>
      </w:r>
      <w:r w:rsidR="008520E1">
        <w:t>2)</w:t>
      </w:r>
      <w:r w:rsidR="008520E1">
        <w:tab/>
      </w:r>
      <w:r w:rsidRPr="008520E1">
        <w:t>разработать план деятельности муниципального (опорного) центра дополнительного образования детей на территории Беломорского муниципального округа.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tab/>
      </w:r>
      <w:r w:rsidR="008520E1">
        <w:t>5.</w:t>
      </w:r>
      <w:r w:rsidR="008520E1">
        <w:tab/>
      </w:r>
      <w:r w:rsidRPr="008520E1">
        <w:t>Опубликовать настоящее постановление в газете "Беломорская трибуна" и разместить на официальном сайте Беломорского муниципального округа</w:t>
      </w:r>
      <w:r w:rsidR="0071255B">
        <w:t xml:space="preserve"> Республики Карелия</w:t>
      </w:r>
      <w:r w:rsidRPr="008520E1">
        <w:t xml:space="preserve"> в информационно-телекоммуникационной сети Интернет.</w:t>
      </w:r>
    </w:p>
    <w:p w:rsidR="006A150F" w:rsidRPr="008520E1" w:rsidRDefault="006A150F" w:rsidP="008520E1">
      <w:pPr>
        <w:tabs>
          <w:tab w:val="left" w:pos="709"/>
          <w:tab w:val="left" w:pos="993"/>
        </w:tabs>
        <w:ind w:firstLine="567"/>
        <w:jc w:val="both"/>
      </w:pPr>
      <w:r w:rsidRPr="008520E1">
        <w:rPr>
          <w:iCs/>
        </w:rPr>
        <w:tab/>
      </w:r>
      <w:r w:rsidR="008520E1">
        <w:rPr>
          <w:iCs/>
        </w:rPr>
        <w:t>6.</w:t>
      </w:r>
      <w:r w:rsidR="008520E1">
        <w:rPr>
          <w:iCs/>
        </w:rPr>
        <w:tab/>
      </w:r>
      <w:r w:rsidRPr="008520E1">
        <w:rPr>
          <w:iCs/>
        </w:rPr>
        <w:t xml:space="preserve">Контроль за  исполнением настоящего </w:t>
      </w:r>
      <w:r w:rsidRPr="008520E1">
        <w:t>постановления возложить на заместителя главы администрации Беломорского муниципального округа Котинову Е.Г.</w:t>
      </w:r>
    </w:p>
    <w:p w:rsidR="006A150F" w:rsidRPr="006A150F" w:rsidRDefault="006A150F" w:rsidP="008520E1">
      <w:pPr>
        <w:tabs>
          <w:tab w:val="left" w:pos="709"/>
          <w:tab w:val="left" w:pos="993"/>
        </w:tabs>
        <w:ind w:firstLine="567"/>
        <w:jc w:val="both"/>
      </w:pPr>
    </w:p>
    <w:p w:rsidR="006A150F" w:rsidRPr="006A150F" w:rsidRDefault="006A150F" w:rsidP="006A150F">
      <w:pPr>
        <w:ind w:firstLine="567"/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91741E" w:rsidRDefault="0091741E" w:rsidP="0091741E">
      <w:pPr>
        <w:jc w:val="both"/>
      </w:pPr>
      <w:r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91741E" w:rsidRDefault="0091741E" w:rsidP="0091741E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91741E" w:rsidRDefault="0091741E" w:rsidP="0091741E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p w:rsidR="008520E1" w:rsidRDefault="008520E1" w:rsidP="0091741E">
      <w:pPr>
        <w:tabs>
          <w:tab w:val="left" w:pos="709"/>
          <w:tab w:val="left" w:pos="993"/>
          <w:tab w:val="left" w:pos="9356"/>
        </w:tabs>
        <w:jc w:val="both"/>
      </w:pPr>
    </w:p>
    <w:tbl>
      <w:tblPr>
        <w:tblW w:w="9322" w:type="dxa"/>
        <w:tblLook w:val="04A0"/>
      </w:tblPr>
      <w:tblGrid>
        <w:gridCol w:w="5495"/>
        <w:gridCol w:w="3827"/>
      </w:tblGrid>
      <w:tr w:rsidR="008520E1" w:rsidTr="00B36631">
        <w:tc>
          <w:tcPr>
            <w:tcW w:w="5495" w:type="dxa"/>
          </w:tcPr>
          <w:p w:rsidR="008520E1" w:rsidRDefault="008520E1" w:rsidP="007544FF">
            <w:pPr>
              <w:jc w:val="both"/>
            </w:pPr>
          </w:p>
        </w:tc>
        <w:tc>
          <w:tcPr>
            <w:tcW w:w="3827" w:type="dxa"/>
          </w:tcPr>
          <w:p w:rsidR="008520E1" w:rsidRPr="008520E1" w:rsidRDefault="008520E1" w:rsidP="008520E1">
            <w:pPr>
              <w:jc w:val="both"/>
              <w:rPr>
                <w:sz w:val="20"/>
                <w:szCs w:val="20"/>
              </w:rPr>
            </w:pPr>
            <w:r w:rsidRPr="008520E1">
              <w:rPr>
                <w:sz w:val="20"/>
                <w:szCs w:val="20"/>
              </w:rPr>
              <w:t xml:space="preserve">Утвержден </w:t>
            </w:r>
          </w:p>
          <w:p w:rsidR="008520E1" w:rsidRPr="008520E1" w:rsidRDefault="008520E1" w:rsidP="008520E1">
            <w:pPr>
              <w:jc w:val="both"/>
              <w:rPr>
                <w:sz w:val="20"/>
                <w:szCs w:val="20"/>
              </w:rPr>
            </w:pPr>
            <w:r w:rsidRPr="008520E1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8520E1" w:rsidRPr="008520E1" w:rsidRDefault="008520E1" w:rsidP="008520E1">
            <w:pPr>
              <w:jc w:val="both"/>
              <w:rPr>
                <w:sz w:val="20"/>
                <w:szCs w:val="20"/>
              </w:rPr>
            </w:pPr>
            <w:r w:rsidRPr="008520E1">
              <w:rPr>
                <w:sz w:val="20"/>
                <w:szCs w:val="20"/>
              </w:rPr>
              <w:t xml:space="preserve">Беломорского муниципального округа </w:t>
            </w:r>
          </w:p>
          <w:p w:rsidR="008520E1" w:rsidRPr="008520E1" w:rsidRDefault="00B36631" w:rsidP="00852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21.04.</w:t>
            </w:r>
            <w:r w:rsidR="008520E1" w:rsidRPr="008520E1">
              <w:rPr>
                <w:sz w:val="20"/>
                <w:szCs w:val="20"/>
              </w:rPr>
              <w:t>2025 года №  440</w:t>
            </w:r>
          </w:p>
        </w:tc>
      </w:tr>
    </w:tbl>
    <w:p w:rsidR="008520E1" w:rsidRDefault="008520E1" w:rsidP="008520E1">
      <w:pPr>
        <w:tabs>
          <w:tab w:val="left" w:pos="1418"/>
        </w:tabs>
        <w:ind w:firstLine="851"/>
      </w:pPr>
    </w:p>
    <w:p w:rsidR="008520E1" w:rsidRPr="008520E1" w:rsidRDefault="008520E1" w:rsidP="008520E1">
      <w:pPr>
        <w:jc w:val="center"/>
        <w:rPr>
          <w:b/>
        </w:rPr>
      </w:pPr>
      <w:r w:rsidRPr="008520E1">
        <w:rPr>
          <w:b/>
        </w:rPr>
        <w:t>Положение о деятельности муниципального (опорного) центра дополнительного образования детей на территории Беломорского муниципального округа</w:t>
      </w:r>
    </w:p>
    <w:p w:rsidR="008520E1" w:rsidRPr="008520E1" w:rsidRDefault="008520E1" w:rsidP="008520E1">
      <w:pPr>
        <w:jc w:val="center"/>
      </w:pPr>
    </w:p>
    <w:p w:rsidR="008520E1" w:rsidRPr="008520E1" w:rsidRDefault="008520E1" w:rsidP="008520E1">
      <w:pPr>
        <w:tabs>
          <w:tab w:val="left" w:pos="993"/>
          <w:tab w:val="left" w:pos="1293"/>
        </w:tabs>
        <w:snapToGrid w:val="0"/>
        <w:ind w:firstLine="709"/>
        <w:jc w:val="both"/>
      </w:pPr>
      <w:r>
        <w:t>1.</w:t>
      </w:r>
      <w:r>
        <w:tab/>
      </w:r>
      <w:r w:rsidRPr="008520E1">
        <w:t>Настоящее положение определяет порядок создания и функционирования муниципального (опорного) центра дополнительного образования детей на территории Беломорского муниципального округа (далее - опорный центр).</w:t>
      </w:r>
    </w:p>
    <w:p w:rsidR="008520E1" w:rsidRPr="008520E1" w:rsidRDefault="008520E1" w:rsidP="008520E1">
      <w:pPr>
        <w:tabs>
          <w:tab w:val="left" w:pos="0"/>
        </w:tabs>
        <w:snapToGrid w:val="0"/>
        <w:ind w:firstLine="709"/>
        <w:jc w:val="both"/>
      </w:pPr>
      <w:r w:rsidRPr="008520E1">
        <w:t>Опорный центр осуществляет организационное, методическое и аналитическое сопровождение и мониторинг развития системы дополнительного образования детей на территории Беломорского муниципального округа.</w:t>
      </w:r>
    </w:p>
    <w:p w:rsidR="008520E1" w:rsidRPr="008520E1" w:rsidRDefault="008520E1" w:rsidP="008520E1">
      <w:pPr>
        <w:tabs>
          <w:tab w:val="left" w:pos="1293"/>
        </w:tabs>
        <w:snapToGrid w:val="0"/>
        <w:ind w:firstLine="709"/>
        <w:jc w:val="both"/>
      </w:pPr>
      <w:r w:rsidRPr="008520E1">
        <w:t>Опорный центр осуществляет функции исполнителя  по мероприятиям в муниципальной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 для детей от 5 до 18 лет.</w:t>
      </w:r>
    </w:p>
    <w:p w:rsidR="008520E1" w:rsidRPr="008520E1" w:rsidRDefault="008520E1" w:rsidP="008520E1">
      <w:pPr>
        <w:tabs>
          <w:tab w:val="left" w:pos="426"/>
          <w:tab w:val="left" w:pos="1293"/>
        </w:tabs>
        <w:snapToGrid w:val="0"/>
        <w:ind w:firstLine="709"/>
        <w:jc w:val="both"/>
      </w:pPr>
      <w:r w:rsidRPr="008520E1">
        <w:t xml:space="preserve">Функции опорного центра осуществляются муниципальным автономным образовательным учреждением дополнительного образования Беломорского муниципального округа "Беломорский центр дополнительного образования" (далее </w:t>
      </w:r>
      <w:r>
        <w:t>-</w:t>
      </w:r>
      <w:r w:rsidRPr="008520E1">
        <w:t xml:space="preserve"> МАОУ ДО "Беломорский ЦДО").</w:t>
      </w:r>
    </w:p>
    <w:p w:rsidR="008520E1" w:rsidRPr="008520E1" w:rsidRDefault="008520E1" w:rsidP="008520E1">
      <w:pPr>
        <w:tabs>
          <w:tab w:val="left" w:pos="426"/>
          <w:tab w:val="left" w:pos="1293"/>
        </w:tabs>
        <w:snapToGrid w:val="0"/>
        <w:ind w:firstLine="709"/>
        <w:jc w:val="both"/>
      </w:pPr>
      <w:r w:rsidRPr="008520E1">
        <w:t xml:space="preserve">Адрес, контактная информация опорного центра: 186500, г. Беломорск, </w:t>
      </w:r>
      <w:r>
        <w:t xml:space="preserve">                      </w:t>
      </w:r>
      <w:r w:rsidRPr="008520E1">
        <w:t xml:space="preserve">пер. Школьный, д. 4, 8(81437) 5-38-37, </w:t>
      </w:r>
      <w:hyperlink r:id="rId7" w:history="1">
        <w:r w:rsidRPr="008520E1">
          <w:rPr>
            <w:rStyle w:val="afc"/>
            <w:color w:val="auto"/>
          </w:rPr>
          <w:t>bekr-natalya@yandex.ru</w:t>
        </w:r>
      </w:hyperlink>
      <w:r w:rsidRPr="008520E1">
        <w:t>.</w:t>
      </w:r>
    </w:p>
    <w:p w:rsidR="008520E1" w:rsidRPr="008520E1" w:rsidRDefault="008520E1" w:rsidP="008520E1">
      <w:pPr>
        <w:tabs>
          <w:tab w:val="left" w:pos="993"/>
          <w:tab w:val="left" w:pos="1293"/>
        </w:tabs>
        <w:snapToGrid w:val="0"/>
        <w:ind w:firstLine="709"/>
        <w:jc w:val="both"/>
      </w:pPr>
      <w:r>
        <w:t>2.</w:t>
      </w:r>
      <w:r>
        <w:tab/>
      </w:r>
      <w:r w:rsidRPr="008520E1">
        <w:t xml:space="preserve">Целью деятельности опорного центра является создание условий для обеспечения в Беломорском муниципальном округе эффективной системы взаимодействия в системе дополнительного образования детей по реализации современных, вариативных и востребованных дополнительных общеобразовательных программ различных направленностей.          </w:t>
      </w:r>
    </w:p>
    <w:p w:rsidR="008520E1" w:rsidRPr="008520E1" w:rsidRDefault="008520E1" w:rsidP="008520E1">
      <w:pPr>
        <w:tabs>
          <w:tab w:val="left" w:pos="1293"/>
        </w:tabs>
        <w:snapToGrid w:val="0"/>
        <w:ind w:firstLine="709"/>
        <w:jc w:val="both"/>
      </w:pPr>
      <w:r w:rsidRPr="008520E1">
        <w:t>Задачи опорного центра:</w:t>
      </w:r>
    </w:p>
    <w:p w:rsidR="008520E1" w:rsidRPr="008520E1" w:rsidRDefault="008520E1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Pr="008520E1">
        <w:t>осуществление организационно-методической, экспертно-консультационной поддержки в системе дополнительного образования детей;</w:t>
      </w:r>
    </w:p>
    <w:p w:rsidR="008520E1" w:rsidRPr="008520E1" w:rsidRDefault="008520E1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Pr="008520E1"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8520E1" w:rsidRPr="008520E1" w:rsidRDefault="008520E1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Pr="008520E1">
        <w:t>выявление инфраструктурного, материально-технического и кадрового потенциала в системе дополнительного образования детей Беломорского муниципального округа;</w:t>
      </w:r>
    </w:p>
    <w:p w:rsidR="008520E1" w:rsidRPr="008520E1" w:rsidRDefault="008520E1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Pr="008520E1">
        <w:t>формирование и распространение моделей сетевого взаимодействия при реализации дополнительных общеобразовательных программ;</w:t>
      </w:r>
    </w:p>
    <w:p w:rsidR="008520E1" w:rsidRPr="008520E1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="008520E1" w:rsidRPr="008520E1">
        <w:t>создание организационных и методических условий, направленных на формирование кадрового потенциала в системе дополнительного образования детей на территории образования Беломорского муниципального округа;</w:t>
      </w:r>
    </w:p>
    <w:p w:rsidR="008520E1" w:rsidRPr="008520E1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="008520E1" w:rsidRPr="008520E1">
        <w:t>обеспечение содержательного наполнения муниципального сегмента общедоступного навигатора в системе дополнительного образования детей в Российской Федерации;</w:t>
      </w:r>
    </w:p>
    <w:p w:rsidR="008520E1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="008520E1" w:rsidRPr="008520E1">
        <w:t>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о Беломорского муниципального округа.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3.</w:t>
      </w:r>
      <w:r>
        <w:tab/>
      </w:r>
      <w:r w:rsidR="008520E1" w:rsidRPr="0071255B">
        <w:t>Опорный центр: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1)</w:t>
      </w:r>
      <w:r>
        <w:tab/>
      </w:r>
      <w:r w:rsidR="008520E1" w:rsidRPr="0071255B">
        <w:t>выполняет функции организационно-методической, экспертно-консультативной поддержки в муниципальной системе дополнительного образования детей, направленной на обеспечение реализации дополнительных общеобразовательных программ различной направленности (технической, естественно</w:t>
      </w:r>
      <w:r w:rsidRPr="0071255B">
        <w:t xml:space="preserve"> </w:t>
      </w:r>
      <w:r w:rsidR="008520E1" w:rsidRPr="0071255B">
        <w:t>-</w:t>
      </w:r>
      <w:r w:rsidRPr="0071255B">
        <w:t xml:space="preserve"> </w:t>
      </w:r>
      <w:r w:rsidR="008520E1" w:rsidRPr="0071255B">
        <w:t>научной, художественной, социально-</w:t>
      </w:r>
      <w:r w:rsidR="008520E1" w:rsidRPr="0071255B">
        <w:lastRenderedPageBreak/>
        <w:t>педагогической, туристско-краеведческой, физкультурно-спортивной) в образовательных организациях, расположенных на территории Беломорского муниципального округа;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2)</w:t>
      </w:r>
      <w:r>
        <w:tab/>
      </w:r>
      <w:r w:rsidR="008520E1" w:rsidRPr="0071255B">
        <w:t>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направленностей, в том числе: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="008520E1" w:rsidRPr="0071255B">
        <w:t>проводит выявление и анализ лучших практик в образовательных организациях, расположенных на территории Беломорского муниципального округа;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="008520E1" w:rsidRPr="0071255B">
        <w:t>предоставляет информацию о выявленных лучших практиках в региональный модельный центр дополнительного образования детей Республики Карелия, способствует их продвижению на территории Республики Карелия;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-</w:t>
      </w:r>
      <w:r>
        <w:tab/>
      </w:r>
      <w:r w:rsidR="008520E1" w:rsidRPr="0071255B">
        <w:t>осуществляет внедрение лучших практик, выявленных в образовательных организациях, расположенных на территории Беломорского муниципального округа, а также лучших практик других муниципальных образований Республики Карелия;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3)</w:t>
      </w:r>
      <w:r>
        <w:tab/>
      </w:r>
      <w:r w:rsidR="008520E1" w:rsidRPr="0071255B">
        <w:t xml:space="preserve">обеспечивает апробацию и внедрение в организациях дополнительного образования детей </w:t>
      </w:r>
      <w:proofErr w:type="spellStart"/>
      <w:r w:rsidR="008520E1" w:rsidRPr="0071255B">
        <w:t>разноуровневых</w:t>
      </w:r>
      <w:proofErr w:type="spellEnd"/>
      <w:r w:rsidR="008520E1" w:rsidRPr="0071255B"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4)</w:t>
      </w:r>
      <w:r>
        <w:tab/>
      </w:r>
      <w:r w:rsidR="008520E1" w:rsidRPr="0071255B">
        <w:t>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5)</w:t>
      </w:r>
      <w:r>
        <w:tab/>
      </w:r>
      <w:r w:rsidR="008520E1" w:rsidRPr="0071255B">
        <w:t>реализует проекты, программы и иные мероприятия в рамках соглашений о сотрудничестве в сфере дополнительного образования детей;</w:t>
      </w:r>
    </w:p>
    <w:p w:rsidR="008520E1" w:rsidRPr="0071255B" w:rsidRDefault="0071255B" w:rsidP="0071255B">
      <w:pPr>
        <w:tabs>
          <w:tab w:val="left" w:pos="0"/>
          <w:tab w:val="left" w:pos="993"/>
        </w:tabs>
        <w:snapToGrid w:val="0"/>
        <w:ind w:firstLine="709"/>
        <w:jc w:val="both"/>
      </w:pPr>
      <w:r>
        <w:t>6)</w:t>
      </w:r>
      <w:r>
        <w:tab/>
      </w:r>
      <w:r w:rsidR="008520E1" w:rsidRPr="0071255B">
        <w:t>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расположенным на территории Беломорского муниципального округа и реализующим дополнительные общеобразовательные программы;</w:t>
      </w:r>
    </w:p>
    <w:p w:rsidR="008520E1" w:rsidRPr="0071255B" w:rsidRDefault="0071255B" w:rsidP="0071255B">
      <w:pPr>
        <w:tabs>
          <w:tab w:val="left" w:pos="0"/>
          <w:tab w:val="left" w:pos="993"/>
        </w:tabs>
        <w:snapToGrid w:val="0"/>
        <w:ind w:firstLine="709"/>
        <w:jc w:val="both"/>
      </w:pPr>
      <w:r>
        <w:t>7)</w:t>
      </w:r>
      <w:r>
        <w:tab/>
      </w:r>
      <w:r w:rsidR="008520E1" w:rsidRPr="0071255B">
        <w:t>способствует развитию сетевых форм взаимодействия при реализации дополнительных общеобразовательных программ в образовательных организациях, расположенных на Беломорского муниципального округа;</w:t>
      </w:r>
    </w:p>
    <w:p w:rsidR="008520E1" w:rsidRPr="0071255B" w:rsidRDefault="0071255B" w:rsidP="0071255B">
      <w:pPr>
        <w:tabs>
          <w:tab w:val="left" w:pos="0"/>
          <w:tab w:val="left" w:pos="993"/>
        </w:tabs>
        <w:snapToGrid w:val="0"/>
        <w:ind w:firstLine="709"/>
        <w:jc w:val="both"/>
      </w:pPr>
      <w:r>
        <w:t>8)</w:t>
      </w:r>
      <w:r>
        <w:tab/>
      </w:r>
      <w:r w:rsidR="008520E1" w:rsidRPr="0071255B">
        <w:t>содействует проведению «летних школ», специализированных (профильных) лагерей по различным направленностям дополнительного образования детей, в том числе:</w:t>
      </w:r>
    </w:p>
    <w:p w:rsidR="008520E1" w:rsidRPr="0071255B" w:rsidRDefault="0071255B" w:rsidP="0071255B">
      <w:pPr>
        <w:tabs>
          <w:tab w:val="left" w:pos="0"/>
          <w:tab w:val="left" w:pos="993"/>
        </w:tabs>
        <w:snapToGrid w:val="0"/>
        <w:ind w:firstLine="709"/>
        <w:jc w:val="both"/>
      </w:pPr>
      <w:r>
        <w:t>-</w:t>
      </w:r>
      <w:r>
        <w:tab/>
      </w:r>
      <w:r w:rsidR="008520E1" w:rsidRPr="0071255B">
        <w:t>участвует в разработке образовательных программ для организаций отдыха и оздоровления детей;</w:t>
      </w:r>
    </w:p>
    <w:p w:rsidR="008520E1" w:rsidRPr="0071255B" w:rsidRDefault="0071255B" w:rsidP="0071255B">
      <w:pPr>
        <w:tabs>
          <w:tab w:val="left" w:pos="0"/>
          <w:tab w:val="left" w:pos="993"/>
        </w:tabs>
        <w:snapToGrid w:val="0"/>
        <w:ind w:firstLine="709"/>
        <w:jc w:val="both"/>
      </w:pPr>
      <w:r>
        <w:t>-</w:t>
      </w:r>
      <w:r>
        <w:tab/>
      </w:r>
      <w:r w:rsidR="008520E1" w:rsidRPr="0071255B">
        <w:t>оказывает организационно-методическую поддержку по реализации дополнительных общеобразовательных программ в организациях отдыха и оздоровления детей;</w:t>
      </w:r>
    </w:p>
    <w:p w:rsidR="008520E1" w:rsidRPr="0071255B" w:rsidRDefault="0071255B" w:rsidP="0071255B">
      <w:pPr>
        <w:tabs>
          <w:tab w:val="left" w:pos="993"/>
          <w:tab w:val="left" w:pos="1293"/>
        </w:tabs>
        <w:snapToGrid w:val="0"/>
        <w:ind w:firstLine="709"/>
        <w:jc w:val="both"/>
      </w:pPr>
      <w:r>
        <w:t>9)</w:t>
      </w:r>
      <w:r>
        <w:tab/>
      </w:r>
      <w:r w:rsidR="008520E1" w:rsidRPr="0071255B">
        <w:t>создает организационно-методические условия для непрерывного развития педагогических кадров муниципальной системы дополнительного образования детей;</w:t>
      </w:r>
    </w:p>
    <w:p w:rsidR="008520E1" w:rsidRPr="0071255B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>
        <w:t>10)</w:t>
      </w:r>
      <w:r>
        <w:tab/>
      </w:r>
      <w:r w:rsidR="008520E1" w:rsidRPr="0071255B"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детей;</w:t>
      </w:r>
    </w:p>
    <w:p w:rsidR="008520E1" w:rsidRPr="0071255B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>
        <w:t>11)</w:t>
      </w:r>
      <w:r>
        <w:tab/>
      </w:r>
      <w:r w:rsidR="008520E1" w:rsidRPr="0071255B">
        <w:t xml:space="preserve">обеспечивает информационное сопровождение мероприятий для детей и молодежи в Беломорском муниципальном округе, в том числе формирует </w:t>
      </w:r>
      <w:proofErr w:type="spellStart"/>
      <w:r w:rsidR="008520E1" w:rsidRPr="0071255B">
        <w:t>медиаплан</w:t>
      </w:r>
      <w:proofErr w:type="spellEnd"/>
      <w:r w:rsidR="008520E1" w:rsidRPr="0071255B">
        <w:t xml:space="preserve"> и проводит мероприятия по освещению деятельности опорного центра;</w:t>
      </w:r>
    </w:p>
    <w:p w:rsidR="008520E1" w:rsidRPr="0071255B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>
        <w:t>12)</w:t>
      </w:r>
      <w:r>
        <w:tab/>
      </w:r>
      <w:r w:rsidR="008520E1" w:rsidRPr="0071255B">
        <w:t>обеспечивает широкое вовлечение детей, в том числе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</w:p>
    <w:p w:rsidR="008520E1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>
        <w:t>13)</w:t>
      </w:r>
      <w:r>
        <w:tab/>
      </w:r>
      <w:r w:rsidR="008520E1" w:rsidRPr="0071255B">
        <w:t>обеспечивает ведение публичного перечня мероприятий для детей и молодежи Беломорского муниципального округа;</w:t>
      </w:r>
    </w:p>
    <w:p w:rsidR="008520E1" w:rsidRPr="0071255B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 w:rsidRPr="0071255B">
        <w:t>14)</w:t>
      </w:r>
      <w:r w:rsidRPr="0071255B">
        <w:tab/>
      </w:r>
      <w:r w:rsidR="008520E1" w:rsidRPr="0071255B">
        <w:t>формирует информационно-телекоммуникационный контур системы дополнительного образования детей в Республике Карелия, включающий: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создание и поддержку функционирования информационного портала опорного центра;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проведение дистанционного обучения для детей и родителей с использованием информационного портала опорного центра;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lastRenderedPageBreak/>
        <w:t>-</w:t>
      </w:r>
      <w:r w:rsidRPr="0071255B">
        <w:tab/>
      </w:r>
      <w:r w:rsidR="008520E1" w:rsidRPr="0071255B">
        <w:t>проведение информационной кампании по продвижению мероприятий в системе дополнительного образования детей через информационный портал опорного центра;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создание и поддержку методического блока на базе информационного портала опорного центра;</w:t>
      </w:r>
    </w:p>
    <w:p w:rsidR="008520E1" w:rsidRPr="0071255B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 w:rsidRPr="0071255B">
        <w:t>15)</w:t>
      </w:r>
      <w:r w:rsidRPr="0071255B">
        <w:tab/>
      </w:r>
      <w:r w:rsidR="008520E1" w:rsidRPr="0071255B">
        <w:t>ведет работу совместно с профильными организациями по поддержке и сопровождению одаренных детей;</w:t>
      </w:r>
    </w:p>
    <w:p w:rsidR="008520E1" w:rsidRPr="0071255B" w:rsidRDefault="0071255B" w:rsidP="0071255B">
      <w:pPr>
        <w:tabs>
          <w:tab w:val="left" w:pos="1134"/>
          <w:tab w:val="left" w:pos="1293"/>
        </w:tabs>
        <w:snapToGrid w:val="0"/>
        <w:ind w:firstLine="709"/>
        <w:jc w:val="both"/>
      </w:pPr>
      <w:r w:rsidRPr="0071255B">
        <w:t>16)</w:t>
      </w:r>
      <w:r w:rsidRPr="0071255B">
        <w:tab/>
      </w:r>
      <w:r w:rsidR="008520E1" w:rsidRPr="0071255B">
        <w:t>готовит предложения по совершенствованию нормативно-правовых, финансовых, организационных механизмов развития муниципальной системы дополнительного образования детей, в том числе: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проводит анализ нормативной правовой базы Беломорского муниципального округа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проводит анализ правоприменительной практики в сфере дополнительного образования детей в Беломорском муниципальном округе;</w:t>
      </w:r>
    </w:p>
    <w:p w:rsidR="008520E1" w:rsidRPr="0071255B" w:rsidRDefault="0071255B" w:rsidP="0071255B">
      <w:pPr>
        <w:tabs>
          <w:tab w:val="left" w:pos="993"/>
          <w:tab w:val="left" w:pos="1134"/>
          <w:tab w:val="left" w:pos="1293"/>
        </w:tabs>
        <w:snapToGrid w:val="0"/>
        <w:ind w:firstLine="709"/>
        <w:jc w:val="both"/>
      </w:pPr>
      <w:r w:rsidRPr="0071255B">
        <w:t>-</w:t>
      </w:r>
      <w:r w:rsidRPr="0071255B">
        <w:tab/>
      </w:r>
      <w:r w:rsidR="008520E1" w:rsidRPr="0071255B">
        <w:t>на основе лучших муниципальных практик готовит предложения по внесению изменений в муниципальные акты в целях реализации современной муниципальной системы дополнительного образования детей в соответствии с законодательством Российской Федерации.</w:t>
      </w:r>
    </w:p>
    <w:p w:rsidR="008520E1" w:rsidRPr="0071255B" w:rsidRDefault="0071255B" w:rsidP="0071255B">
      <w:pPr>
        <w:tabs>
          <w:tab w:val="left" w:pos="993"/>
          <w:tab w:val="left" w:pos="1134"/>
        </w:tabs>
        <w:snapToGrid w:val="0"/>
        <w:ind w:firstLine="709"/>
        <w:jc w:val="both"/>
      </w:pPr>
      <w:r w:rsidRPr="0071255B">
        <w:t>4.</w:t>
      </w:r>
      <w:r w:rsidRPr="0071255B">
        <w:tab/>
      </w:r>
      <w:r w:rsidR="008520E1" w:rsidRPr="0071255B">
        <w:t>Деятельность опорного центра осуществляется в соответствии с настоящим положением и планом работы опорного центра, утвержденным администрацией Беломорского муниципального округа.</w:t>
      </w:r>
    </w:p>
    <w:p w:rsidR="008520E1" w:rsidRPr="0071255B" w:rsidRDefault="008520E1" w:rsidP="0071255B">
      <w:pPr>
        <w:tabs>
          <w:tab w:val="left" w:pos="1134"/>
        </w:tabs>
        <w:snapToGrid w:val="0"/>
        <w:ind w:firstLine="709"/>
        <w:jc w:val="both"/>
      </w:pPr>
      <w:r w:rsidRPr="0071255B">
        <w:t>Общая координация и контроль деятельности опорного центра осуществляется отделом образования администрации Беломорского муниципального округа, руководителем МАОУ ДО "Беломорский ЦДО".</w:t>
      </w:r>
    </w:p>
    <w:p w:rsidR="008520E1" w:rsidRPr="0071255B" w:rsidRDefault="008520E1" w:rsidP="0071255B">
      <w:pPr>
        <w:tabs>
          <w:tab w:val="left" w:pos="1134"/>
        </w:tabs>
        <w:snapToGrid w:val="0"/>
        <w:ind w:firstLine="709"/>
        <w:jc w:val="both"/>
      </w:pPr>
      <w:r w:rsidRPr="0071255B">
        <w:t>Структура опорного центра определяется локальным актом МАОУ ДО "Беломорский ЦДО".</w:t>
      </w:r>
    </w:p>
    <w:p w:rsidR="008520E1" w:rsidRPr="0071255B" w:rsidRDefault="008520E1" w:rsidP="0071255B">
      <w:pPr>
        <w:tabs>
          <w:tab w:val="left" w:pos="1134"/>
        </w:tabs>
        <w:snapToGrid w:val="0"/>
        <w:ind w:firstLine="709"/>
        <w:jc w:val="both"/>
      </w:pPr>
      <w:r w:rsidRPr="0071255B">
        <w:t>Руководство опорным центром осуществляет директор МАОУ ДО "Беломорский ЦДО.</w:t>
      </w:r>
    </w:p>
    <w:p w:rsidR="008520E1" w:rsidRPr="0071255B" w:rsidRDefault="008520E1" w:rsidP="0071255B">
      <w:pPr>
        <w:tabs>
          <w:tab w:val="left" w:pos="1134"/>
        </w:tabs>
        <w:snapToGrid w:val="0"/>
        <w:ind w:firstLine="709"/>
        <w:jc w:val="both"/>
      </w:pPr>
      <w:r w:rsidRPr="0071255B">
        <w:t>Координация деятельности образовательных организаций, использующих материально-технические и другие ресурсы опорного центра, осуществляется в соответствии с законодательными и нормативными правовыми актами в сфере образования.</w:t>
      </w:r>
    </w:p>
    <w:p w:rsidR="008520E1" w:rsidRPr="0071255B" w:rsidRDefault="0071255B" w:rsidP="0071255B">
      <w:pPr>
        <w:tabs>
          <w:tab w:val="left" w:pos="993"/>
          <w:tab w:val="left" w:pos="1134"/>
        </w:tabs>
        <w:snapToGrid w:val="0"/>
        <w:ind w:firstLine="709"/>
        <w:jc w:val="both"/>
      </w:pPr>
      <w:r w:rsidRPr="0071255B">
        <w:t>5.</w:t>
      </w:r>
      <w:r w:rsidRPr="0071255B">
        <w:tab/>
      </w:r>
      <w:r w:rsidR="008520E1" w:rsidRPr="0071255B">
        <w:t>Опорный центр ежегодно отчитывается о ходе и результатах деятельности перед региональным модельным центром дополнительного образования детей Республики Карелия.</w:t>
      </w:r>
    </w:p>
    <w:p w:rsidR="008520E1" w:rsidRPr="0071255B" w:rsidRDefault="008520E1" w:rsidP="0071255B">
      <w:pPr>
        <w:tabs>
          <w:tab w:val="left" w:pos="1134"/>
        </w:tabs>
        <w:snapToGrid w:val="0"/>
        <w:ind w:firstLine="709"/>
        <w:jc w:val="both"/>
      </w:pPr>
      <w:r w:rsidRPr="0071255B">
        <w:t>Опорный центр представляет отчет о своей деятельности в администрацию Беломорского муниципального округа по установленным формам и в определенные сроки.</w:t>
      </w:r>
    </w:p>
    <w:p w:rsidR="008520E1" w:rsidRPr="0071255B" w:rsidRDefault="008520E1" w:rsidP="0071255B">
      <w:pPr>
        <w:tabs>
          <w:tab w:val="left" w:pos="1418"/>
        </w:tabs>
        <w:ind w:firstLine="709"/>
      </w:pPr>
    </w:p>
    <w:p w:rsidR="008520E1" w:rsidRPr="0071255B" w:rsidRDefault="008520E1" w:rsidP="0071255B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sectPr w:rsidR="008520E1" w:rsidRPr="0071255B" w:rsidSect="008520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27CB4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5DE9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6927"/>
    <w:rsid w:val="003677FF"/>
    <w:rsid w:val="00394692"/>
    <w:rsid w:val="003A0C7F"/>
    <w:rsid w:val="003A3DB4"/>
    <w:rsid w:val="003A4408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57098"/>
    <w:rsid w:val="00460462"/>
    <w:rsid w:val="00461BFB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B5B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150F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4679"/>
    <w:rsid w:val="007055EB"/>
    <w:rsid w:val="0070589A"/>
    <w:rsid w:val="0070623B"/>
    <w:rsid w:val="0071255B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0E1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160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91E37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631"/>
    <w:rsid w:val="00B3698E"/>
    <w:rsid w:val="00B41C27"/>
    <w:rsid w:val="00B4222D"/>
    <w:rsid w:val="00B44CCE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74B4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062E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kr-natal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599</cp:revision>
  <cp:lastPrinted>2025-04-22T07:55:00Z</cp:lastPrinted>
  <dcterms:created xsi:type="dcterms:W3CDTF">2023-11-20T13:40:00Z</dcterms:created>
  <dcterms:modified xsi:type="dcterms:W3CDTF">2025-04-22T08:36:00Z</dcterms:modified>
</cp:coreProperties>
</file>